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always optimal: interior optima of endocrine feedback efficacy in a previously validated glucose–insulin–glucagon model</w:t>
      </w:r>
    </w:p>
    <w:p>
      <w:r>
        <w:t>Tatsuki Onishi</w:t>
      </w:r>
    </w:p>
    <w:p>
      <w:r>
        <w:t>Affiliation: (to be completed)</w:t>
      </w:r>
    </w:p>
    <w:p>
      <w:r>
        <w:t>Word count (abstract): 243</w:t>
      </w:r>
    </w:p>
    <w:p>
      <w:r>
        <w:t>Keywords: glucose homeostasis; insulin; glucagon; mathematical model; dose-response; feedback; Braess paradox</w:t>
      </w:r>
    </w:p>
    <w:p>
      <w:r>
        <w:br w:type="page"/>
      </w:r>
    </w:p>
    <w:p>
      <w:pPr>
        <w:pStyle w:val="Heading1"/>
      </w:pPr>
      <w:r>
        <w:t>Abstract</w:t>
      </w:r>
    </w:p>
    <w:p>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pPr>
      <w:r>
        <w:t>Keywords</w:t>
      </w:r>
    </w:p>
    <w:p>
      <w:r>
        <w:t>glucose homeostasis; insulin; glucagon; mathematical model; dose-response; feedback; Braess paradox; homeostatic regulation</w:t>
      </w:r>
    </w:p>
    <w:p>
      <w:pPr>
        <w:pStyle w:val="Heading1"/>
      </w:pPr>
      <w:r>
        <w:t>Introduction</w:t>
      </w:r>
    </w:p>
    <w:p>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r>
        <w:t>Disease-state labels: the T2DM-like state halves insulin signalling efficacy at all sites; the T1DM-like state abolishes endogenous insulin secretion (glucagon secretion remains simulated and manipulable).</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5A).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pPr>
        <w:pStyle w:val="Heading2"/>
      </w:pPr>
      <w:r>
        <w:t>Weight-independent support: Pareto analysis</w:t>
      </w:r>
    </w:p>
    <w:p>
      <w:r>
        <w:t>Because the composite loss is one scalarisation of homeostatic performance, each Type II case was also assessed on the glycaemic axes without weights (Figure 4,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pPr>
        <w:pStyle w:val="Heading2"/>
      </w:pPr>
      <w:r>
        <w:t>Mechanism of the IVGTT optimum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pPr>
        <w:pStyle w:val="Heading2"/>
      </w:pPr>
      <w:r>
        <w:t>Additional non-IVGTT interior optima</w:t>
      </w:r>
    </w:p>
    <w:p>
      <w:r>
        <w:t>Beyond the insulin IVGTT cases, interior optima appear under continuous-infusion and disease contexts: CIVII insulin-secretion potentiation (u* = 0.51; Figure 5D),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pPr>
      <w:r>
        <w:t>Robustness and endpoint dependence</w:t>
      </w:r>
    </w:p>
    <w:p>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the fraction was 46 % (72 perturbations: four loss-term families × ×0.5/×2/=0 per case). reverting when the glucose-band terms themselves were removed (removing the phenotype by construction) or when the optimum is shallow and the classification threshold is raised to 5 % (Figure 7). Cases whose optimum is driven by variability revert to Type 0 when variability terms are removed — these are endpoint-dependent and are labelled as such in Table 3.</w:t>
      </w:r>
    </w:p>
    <w:p>
      <w:pPr>
        <w:pStyle w:val="Heading2"/>
      </w:pPr>
      <w:r>
        <w:t>Disease-state extensions</w:t>
      </w:r>
    </w:p>
    <w:p>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pPr>
        <w:pStyle w:val="Heading2"/>
      </w:pPr>
      <w:r>
        <w:t>Exploratory HPT extension</w:t>
      </w:r>
    </w:p>
    <w:p>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pPr>
      <w:r>
        <w:t>Discussion</w:t>
      </w:r>
    </w:p>
    <w:p>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pPr>
      <w:r>
        <w:t>Declarations</w:t>
      </w:r>
    </w:p>
    <w:p>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r/>
      <w:r>
        <w:rPr>
          <w:b/>
        </w:rPr>
        <w:t>Author contributions, funding, competing interests.</w:t>
      </w:r>
      <w:r>
        <w:t xml:space="preserve">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Weight-independent support: Pareto fronts of hypoglycaemic vs hyperglycaemic burden; labels give u. u* is no worse than u=1 on the glycaemic axes for all Type II cases; 2/4 lie on the frontier.</w:t>
      </w:r>
    </w:p>
    <w:p>
      <w:r>
        <w:t>Figure 5. Glucose trajectories at baseline (u=0), interior optimum (u*) and maximum (u=1) for the four strict Type II cases.</w:t>
      </w:r>
    </w:p>
    <w:p>
      <w:r>
        <w:t>Figure 6. Mechanism of the IVGTT interior optimum: insulin, glucagon and hepatic glucose production at u=0, u* and u=1.</w:t>
      </w:r>
    </w:p>
    <w:p>
      <w:r>
        <w:t>Figure 7. Dependence of the optimal modulation u* and classification on loss-function composition (colour bar = u*; cell labels = class).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