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Maximum hormonal action is not always optimal: interior optima in a previously validated glucose–insulin–glucagon model</w:t>
      </w:r>
    </w:p>
    <w:p>
      <w:r>
        <w:t>Short title: Maximum is not optimum</w:t>
      </w:r>
    </w:p>
    <w:p>
      <w:r>
        <w:t>Author: Tatsuki Onishi</w:t>
      </w:r>
    </w:p>
    <w:p>
      <w:r>
        <w:t>Affiliation: (to be completed)</w:t>
      </w:r>
    </w:p>
    <w:p>
      <w:r>
        <w:t>Corresponding author: Tatsuki Onishi, bougtoir@gmail.com</w:t>
      </w:r>
    </w:p>
    <w:p>
      <w:r>
        <w:t>Keywords: glucose homeostasis; insulin; glucagon; mathematical model; dose-response; feedback; Braess paradox; homeostatic regulation</w:t>
      </w:r>
    </w:p>
    <w:p>
      <w:r>
        <w:t>Word count of full article (excluding references and figure legends): 2931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