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Endocrinology is fundamentally concerned with homeostasis, yet hormonal</w:t>
        <w:br/>
        <w:t>efficacy is usually described locally — how strongly a signal acts —</w:t>
        <w:br/>
        <w:t>rather than systemically, that is, how strongly it should act for the</w:t>
        <w:br/>
        <w:t>feedback system as a whole. In the enclosed manuscript, "Maximum</w:t>
        <w:br/>
        <w:t>hormonal action is not always optimal: interior optima in a previously</w:t>
        <w:br/>
        <w:t>validated glucose–insulin–glucagon model", we ask whether those two</w:t>
        <w:br/>
        <w:t>quantities are necessarily the same. We find that they are not always</w:t>
        <w:br/>
        <w:t>the same.</w:t>
      </w:r>
    </w:p>
    <w:p>
      <w:r>
        <w:t>Using a previously validated 26-state whole-body</w:t>
        <w:br/>
        <w:t>glucose–insulin–glucagon model, we swept ten interventions that</w:t>
        <w:br/>
        <w:t>continuously scale insulin and glucagon signalling or secretion</w:t>
        <w:br/>
        <w:t>efficacy across five physiological challenges, and scored each response</w:t>
        <w:br/>
        <w:t>with a composite homeostatic loss complemented by a weight-independent</w:t>
        <w:br/>
        <w:t>Pareto analysis of the glycaemic axes. Four of fifty</w:t>
        <w:br/>
        <w:t>intervention–challenge combinations show strict interior optima:</w:t>
        <w:br/>
        <w:t>partial modulation outperforms both the unperturbed baseline and</w:t>
        <w:br/>
        <w:t>maximal modulation. The clearest case — partial suppression of insulin</w:t>
        <w:br/>
        <w:t>secretion under IVGTT — has an intuitive mechanism: limiting the</w:t>
        <w:br/>
        <w:t>insulin excursion prevents reactive hypoglycaemia while retaining</w:t>
        <w:br/>
        <w:t>enough action to clear the load. The phenomenon is not confined to one</w:t>
        <w:br/>
        <w:t>hormone, one direction of modulation or one challenge, and the optimal</w:t>
        <w:br/>
        <w:t>modulation shifts under insulin-resistant and insulin-deficient states.</w:t>
      </w:r>
    </w:p>
    <w:p>
      <w:r>
        <w:t>We believe the conceptual advance matters to this journal's readers:</w:t>
        <w:br/>
        <w:t>the quantity pharmacology often maximises — local efficacy — is not</w:t>
        <w:br/>
        <w:t>necessarily the quantity physiology optimises — homeostasis. The</w:t>
        <w:br/>
        <w:t>interior optimum is the empirical result; the Braess-like regime we</w:t>
        <w:br/>
        <w:t>describe is our interpretation, offered as a testable framework for</w:t>
        <w:br/>
        <w:t>systems-level endocrine physiology. We deliberately make no</w:t>
        <w:br/>
        <w:t>clinical-dose inference, claim no universal Braess behaviour and no</w:t>
        <w:br/>
        <w:t>general superiority of partial modulation, and present our</w:t>
        <w:br/>
        <w:t>hypothalamic–pituitary–thyroid extension as exploratory,</w:t>
        <w:br/>
        <w:t>hypothesis-generating evidence only.</w:t>
      </w:r>
    </w:p>
    <w:p>
      <w:r>
        <w:t>The study is fully reproducible: the complete analysis pipeline, the</w:t>
        <w:br/>
        <w:t>frozen upstream model implementation with a provenance ledger, and all</w:t>
        <w:br/>
        <w:t>results and figures regenerate with a single command. The manuscript</w:t>
        <w:br/>
        <w:t>has not been published or submitted elsewhere. The author declares no</w:t>
        <w:br/>
        <w:t>competing interests. An AI assistant was used for implementation and</w:t>
        <w:br/>
        <w:t>drafting support, as disclosed in the manuscript.</w:t>
      </w:r>
    </w:p>
    <w:p>
      <w:r>
        <w:t>We hope you find the question — and the answer — worth the journal's</w:t>
        <w:br/>
        <w:t>attention.</w:t>
      </w:r>
    </w:p>
    <w:p>
      <w:r>
        <w:t>Sincerely,</w:t>
        <w:br/>
        <w:t>Tatsuki Onishi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