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pPr>
        <w:spacing w:line="480" w:lineRule="auto"/>
      </w:pPr>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4_trajectories.png"/>
                    <pic:cNvPicPr/>
                  </pic:nvPicPr>
                  <pic:blipFill>
                    <a:blip r:embed="rId12"/>
                    <a:stretch>
                      <a:fillRect/>
                    </a:stretch>
                  </pic:blipFill>
                  <pic:spPr>
                    <a:xfrm>
                      <a:off x="0" y="0"/>
                      <a:ext cx="5486400" cy="3605349"/>
                    </a:xfrm>
                    <a:prstGeom prst="rect"/>
                  </pic:spPr>
                </pic:pic>
              </a:graphicData>
            </a:graphic>
          </wp:inline>
        </w:drawing>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5,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5_pareto.png"/>
                    <pic:cNvPicPr/>
                  </pic:nvPicPr>
                  <pic:blipFill>
                    <a:blip r:embed="rId13"/>
                    <a:stretch>
                      <a:fillRect/>
                    </a:stretch>
                  </pic:blipFill>
                  <pic:spPr>
                    <a:xfrm>
                      <a:off x="0" y="0"/>
                      <a:ext cx="5486400" cy="4180114"/>
                    </a:xfrm>
                    <a:prstGeom prst="rect"/>
                  </pic:spPr>
                </pic:pic>
              </a:graphicData>
            </a:graphic>
          </wp:inline>
        </w:drawing>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4D),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33 of 72 perturbations (46 %) preserved Type II/II*; the 12 perturbations per case comprised four loss-term families, each scaled by ×0.5, ×2 or 0. Classification reverted when the glucose-band terms themselves were removed (removing the phenotype by construction) or when the optimum was shallow and the classification threshold was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Glucose trajectories at baseline (u=0), interior optimum (u*) and maximum (u=1) for the four strict Type II cases.</w:t>
      </w:r>
    </w:p>
    <w:p>
      <w:pPr>
        <w:spacing w:line="480" w:lineRule="auto"/>
      </w:pPr>
      <w:r>
        <w:t>Figure 5. Weight-independent support: Pareto fronts of hypoglycaemic vs hyperglycaemic burden; labels give u. u* is no worse than u=1 on the glycaemic axes for all Type II cases; 2/4 lie on the frontier.</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