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Maximum hormonal action is not always optimal: interior optima in a previously validated glucose–insulin–glucagon model</w:t>
      </w:r>
    </w:p>
    <w:p>
      <w:pPr>
        <w:spacing w:line="480" w:lineRule="auto"/>
      </w:pPr>
      <w:r>
        <w:t>Tatsuki Onishi</w:t>
      </w:r>
    </w:p>
    <w:p>
      <w:pPr>
        <w:spacing w:line="480" w:lineRule="auto"/>
      </w:pPr>
      <w:r>
        <w:t>Affiliation: (to be completed)</w:t>
      </w:r>
    </w:p>
    <w:p>
      <w:pPr>
        <w:spacing w:line="480" w:lineRule="auto"/>
      </w:pPr>
      <w:r>
        <w:t>Word count (abstract): 243</w:t>
      </w:r>
    </w:p>
    <w:p>
      <w:pPr>
        <w:spacing w:line="480" w:lineRule="auto"/>
      </w:pPr>
      <w:r>
        <w:t>Keywords: glucose homeostasis; insulin; glucagon; mathematical model; dose-response; feedback; Braess paradox</w:t>
      </w:r>
    </w:p>
    <w:p>
      <w:pPr>
        <w:spacing w:line="480" w:lineRule="auto"/>
      </w:pPr>
      <w:r>
        <w:br w:type="page"/>
      </w:r>
    </w:p>
    <w:p>
      <w:pPr>
        <w:pStyle w:val="Heading1"/>
        <w:spacing w:line="480" w:lineRule="auto"/>
      </w:pPr>
      <w:r>
        <w:t>Abstract</w:t>
      </w:r>
    </w:p>
    <w:p>
      <w:pPr>
        <w:spacing w:line="480" w:lineRule="auto"/>
      </w:pPr>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spacing w:line="480" w:lineRule="auto"/>
      </w:pPr>
      <w:r>
        <w:t>Keywords</w:t>
      </w:r>
    </w:p>
    <w:p>
      <w:pPr>
        <w:spacing w:line="480" w:lineRule="auto"/>
      </w:pPr>
      <w:r>
        <w:t>glucose homeostasis; insulin; glucagon; mathematical model; dose-response; feedback; Braess paradox; homeostatic regulation</w:t>
      </w:r>
    </w:p>
    <w:p>
      <w:pPr>
        <w:pStyle w:val="Heading1"/>
        <w:spacing w:line="480" w:lineRule="auto"/>
      </w:pPr>
      <w:r>
        <w:t>Introduction</w:t>
      </w:r>
    </w:p>
    <w:p>
      <w:pPr>
        <w:spacing w:line="480" w:lineRule="auto"/>
      </w:pPr>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pPr>
        <w:spacing w:line="480" w:lineRule="auto"/>
      </w:pPr>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Here, we test this hypothesis directly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pPr>
        <w:spacing w:line="480" w:lineRule="auto"/>
      </w:pPr>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spacing w:line="480" w:lineRule="auto"/>
      </w:pPr>
      <w:r>
        <w:t>Materials and Methods</w:t>
      </w:r>
    </w:p>
    <w:p>
      <w:pPr>
        <w:pStyle w:val="Heading2"/>
        <w:spacing w:line="480" w:lineRule="auto"/>
      </w:pPr>
      <w:r>
        <w:t>Model</w:t>
      </w:r>
    </w:p>
    <w:p>
      <w:pPr>
        <w:spacing w:line="480" w:lineRule="auto"/>
      </w:pPr>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r>
        <w:drawing>
          <wp:inline xmlns:a="http://schemas.openxmlformats.org/drawingml/2006/main" xmlns:pic="http://schemas.openxmlformats.org/drawingml/2006/picture">
            <wp:extent cx="5486400" cy="1828800"/>
            <wp:docPr id="1" name="Picture 1"/>
            <wp:cNvGraphicFramePr>
              <a:graphicFrameLocks noChangeAspect="1"/>
            </wp:cNvGraphicFramePr>
            <a:graphic>
              <a:graphicData uri="http://schemas.openxmlformats.org/drawingml/2006/picture">
                <pic:pic>
                  <pic:nvPicPr>
                    <pic:cNvPr id="0" name="fig1_validation.png"/>
                    <pic:cNvPicPr/>
                  </pic:nvPicPr>
                  <pic:blipFill>
                    <a:blip r:embed="rId9"/>
                    <a:stretch>
                      <a:fillRect/>
                    </a:stretch>
                  </pic:blipFill>
                  <pic:spPr>
                    <a:xfrm>
                      <a:off x="0" y="0"/>
                      <a:ext cx="5486400" cy="1828800"/>
                    </a:xfrm>
                    <a:prstGeom prst="rect"/>
                  </pic:spPr>
                </pic:pic>
              </a:graphicData>
            </a:graphic>
          </wp:inline>
        </w:drawing>
      </w:r>
    </w:p>
    <w:p>
      <w:pPr>
        <w:pStyle w:val="Heading2"/>
        <w:spacing w:line="480" w:lineRule="auto"/>
      </w:pPr>
      <w:r>
        <w:t>Intervention convention</w:t>
      </w:r>
    </w:p>
    <w:p>
      <w:pPr>
        <w:spacing w:line="480" w:lineRule="auto"/>
      </w:pPr>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fig2_convention.png"/>
                    <pic:cNvPicPr/>
                  </pic:nvPicPr>
                  <pic:blipFill>
                    <a:blip r:embed="rId10"/>
                    <a:stretch>
                      <a:fillRect/>
                    </a:stretch>
                  </pic:blipFill>
                  <pic:spPr>
                    <a:xfrm>
                      <a:off x="0" y="0"/>
                      <a:ext cx="5486400" cy="2057400"/>
                    </a:xfrm>
                    <a:prstGeom prst="rect"/>
                  </pic:spPr>
                </pic:pic>
              </a:graphicData>
            </a:graphic>
          </wp:inline>
        </w:drawing>
      </w:r>
    </w:p>
    <w:p>
      <w:pPr>
        <w:pStyle w:val="Heading2"/>
        <w:spacing w:line="480" w:lineRule="auto"/>
      </w:pPr>
      <w:r>
        <w:t>Challenges and endpoints</w:t>
      </w:r>
    </w:p>
    <w:p>
      <w:pPr>
        <w:spacing w:line="480" w:lineRule="auto"/>
      </w:pPr>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spacing w:line="480" w:lineRule="auto"/>
      </w:pPr>
      <w:r>
        <w:t>Controls and robustness</w:t>
      </w:r>
    </w:p>
    <w:p>
      <w:pPr>
        <w:spacing w:line="480" w:lineRule="auto"/>
      </w:pPr>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pPr>
        <w:spacing w:line="480" w:lineRule="auto"/>
      </w:pPr>
      <w:r>
        <w:t>Disease-state labels: the T2DM-like state halves insulin signalling efficacy at all sites; the T1DM-like state abolishes endogenous insulin secretion (glucagon secretion remains simulated and manipulable).</w:t>
      </w:r>
    </w:p>
    <w:p>
      <w:pPr>
        <w:pStyle w:val="Heading1"/>
        <w:spacing w:line="480" w:lineRule="auto"/>
      </w:pPr>
      <w:r>
        <w:t>Results</w:t>
      </w:r>
    </w:p>
    <w:p>
      <w:pPr>
        <w:pStyle w:val="Heading2"/>
        <w:spacing w:line="480" w:lineRule="auto"/>
      </w:pPr>
      <w:r>
        <w:t>Landscape of modulation responses</w:t>
      </w:r>
    </w:p>
    <w:p>
      <w:pPr>
        <w:spacing w:line="480" w:lineRule="auto"/>
      </w:pPr>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drawing>
          <wp:inline xmlns:a="http://schemas.openxmlformats.org/drawingml/2006/main" xmlns:pic="http://schemas.openxmlformats.org/drawingml/2006/picture">
            <wp:extent cx="5486400" cy="3465095"/>
            <wp:docPr id="3" name="Picture 3"/>
            <wp:cNvGraphicFramePr>
              <a:graphicFrameLocks noChangeAspect="1"/>
            </wp:cNvGraphicFramePr>
            <a:graphic>
              <a:graphicData uri="http://schemas.openxmlformats.org/drawingml/2006/picture">
                <pic:pic>
                  <pic:nvPicPr>
                    <pic:cNvPr id="0" name="fig3_loss_curves.png"/>
                    <pic:cNvPicPr/>
                  </pic:nvPicPr>
                  <pic:blipFill>
                    <a:blip r:embed="rId11"/>
                    <a:stretch>
                      <a:fillRect/>
                    </a:stretch>
                  </pic:blipFill>
                  <pic:spPr>
                    <a:xfrm>
                      <a:off x="0" y="0"/>
                      <a:ext cx="5486400" cy="3465095"/>
                    </a:xfrm>
                    <a:prstGeom prst="rect"/>
                  </pic:spPr>
                </pic:pic>
              </a:graphicData>
            </a:graphic>
          </wp:inline>
        </w:drawing>
      </w:r>
    </w:p>
    <w:p>
      <w:pPr>
        <w:spacing w:line="480" w:lineRule="auto"/>
      </w:pPr>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4A).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r>
        <w:drawing>
          <wp:inline xmlns:a="http://schemas.openxmlformats.org/drawingml/2006/main" xmlns:pic="http://schemas.openxmlformats.org/drawingml/2006/picture">
            <wp:extent cx="5486400" cy="3605349"/>
            <wp:docPr id="4" name="Picture 4"/>
            <wp:cNvGraphicFramePr>
              <a:graphicFrameLocks noChangeAspect="1"/>
            </wp:cNvGraphicFramePr>
            <a:graphic>
              <a:graphicData uri="http://schemas.openxmlformats.org/drawingml/2006/picture">
                <pic:pic>
                  <pic:nvPicPr>
                    <pic:cNvPr id="0" name="fig4_trajectories.png"/>
                    <pic:cNvPicPr/>
                  </pic:nvPicPr>
                  <pic:blipFill>
                    <a:blip r:embed="rId12"/>
                    <a:stretch>
                      <a:fillRect/>
                    </a:stretch>
                  </pic:blipFill>
                  <pic:spPr>
                    <a:xfrm>
                      <a:off x="0" y="0"/>
                      <a:ext cx="5486400" cy="3605349"/>
                    </a:xfrm>
                    <a:prstGeom prst="rect"/>
                  </pic:spPr>
                </pic:pic>
              </a:graphicData>
            </a:graphic>
          </wp:inline>
        </w:drawing>
      </w:r>
    </w:p>
    <w:p>
      <w:pPr>
        <w:pStyle w:val="Heading2"/>
        <w:spacing w:line="480" w:lineRule="auto"/>
      </w:pPr>
      <w:r>
        <w:t>Weight-independent support: Pareto analysis</w:t>
      </w:r>
    </w:p>
    <w:p>
      <w:pPr>
        <w:spacing w:line="480" w:lineRule="auto"/>
      </w:pPr>
      <w:r>
        <w:t>Because the composite loss is one scalarisation of homeostatic performance, each Type II case was also assessed on the glycaemic axes without weights (Figure 5, Table 3). All four optima are no worse than maximal modulation u = 1 on the glycaemic-burden axes — three strictly dominate u = 1 there, the OGTT case shows equal glycaemic burdens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reduced glycaemic variability and endocrine exposure rather than a difference in glycaemic burden (hypo and hyper burden are zero at u = 0, u* and u = 1). Individual endpoints for each case are given in Table 3.</w:t>
      </w:r>
    </w:p>
    <w:p>
      <w:r>
        <w:drawing>
          <wp:inline xmlns:a="http://schemas.openxmlformats.org/drawingml/2006/main" xmlns:pic="http://schemas.openxmlformats.org/drawingml/2006/picture">
            <wp:extent cx="5486400" cy="4180114"/>
            <wp:docPr id="5" name="Picture 5"/>
            <wp:cNvGraphicFramePr>
              <a:graphicFrameLocks noChangeAspect="1"/>
            </wp:cNvGraphicFramePr>
            <a:graphic>
              <a:graphicData uri="http://schemas.openxmlformats.org/drawingml/2006/picture">
                <pic:pic>
                  <pic:nvPicPr>
                    <pic:cNvPr id="0" name="fig5_pareto.png"/>
                    <pic:cNvPicPr/>
                  </pic:nvPicPr>
                  <pic:blipFill>
                    <a:blip r:embed="rId13"/>
                    <a:stretch>
                      <a:fillRect/>
                    </a:stretch>
                  </pic:blipFill>
                  <pic:spPr>
                    <a:xfrm>
                      <a:off x="0" y="0"/>
                      <a:ext cx="5486400" cy="4180114"/>
                    </a:xfrm>
                    <a:prstGeom prst="rect"/>
                  </pic:spPr>
                </pic:pic>
              </a:graphicData>
            </a:graphic>
          </wp:inline>
        </w:drawing>
      </w:r>
    </w:p>
    <w:p>
      <w:pPr>
        <w:pStyle w:val="Heading2"/>
        <w:spacing w:line="480" w:lineRule="auto"/>
      </w:pPr>
      <w:r>
        <w:t>Mechanism of the IVGTT optimum</w:t>
      </w:r>
    </w:p>
    <w:p>
      <w:pPr>
        <w:spacing w:line="480" w:lineRule="auto"/>
      </w:pPr>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6_mechanism.png"/>
                    <pic:cNvPicPr/>
                  </pic:nvPicPr>
                  <pic:blipFill>
                    <a:blip r:embed="rId14"/>
                    <a:stretch>
                      <a:fillRect/>
                    </a:stretch>
                  </pic:blipFill>
                  <pic:spPr>
                    <a:xfrm>
                      <a:off x="0" y="0"/>
                      <a:ext cx="5486400" cy="1828800"/>
                    </a:xfrm>
                    <a:prstGeom prst="rect"/>
                  </pic:spPr>
                </pic:pic>
              </a:graphicData>
            </a:graphic>
          </wp:inline>
        </w:drawing>
      </w:r>
    </w:p>
    <w:p>
      <w:pPr>
        <w:pStyle w:val="Heading2"/>
        <w:spacing w:line="480" w:lineRule="auto"/>
      </w:pPr>
      <w:r>
        <w:t>Additional non-IVGTT interior optima</w:t>
      </w:r>
    </w:p>
    <w:p>
      <w:pPr>
        <w:spacing w:line="480" w:lineRule="auto"/>
      </w:pPr>
      <w:r>
        <w:t>Beyond the insulin IVGTT cases, interior optima appear under continuous-infusion and disease contexts: CIVII insulin-secretion potentiation (u* = 0.51; Figure 4D),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spacing w:line="480" w:lineRule="auto"/>
      </w:pPr>
      <w:r>
        <w:t>Robustness and endpoint dependence</w:t>
      </w:r>
    </w:p>
    <w:p>
      <w:pPr>
        <w:spacing w:line="480" w:lineRule="auto"/>
      </w:pPr>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33 of 72 perturbations (46 %) preserved Type II/II*; the 12 perturbations per case comprised four loss-term families, each scaled by ×0.5, ×2 or 0. Classification reverted when the glucose-band terms themselves were removed (removing the phenotype by construction) or when the optimum was shallow and the classification threshold was raised to 5 % (Figure 7). Cases whose optimum is driven by variability revert to Type 0 when variability terms are removed — these are endpoint-dependent and are labelled as such in Table 3.</w:t>
      </w:r>
    </w:p>
    <w:p>
      <w:r>
        <w:drawing>
          <wp:inline xmlns:a="http://schemas.openxmlformats.org/drawingml/2006/main" xmlns:pic="http://schemas.openxmlformats.org/drawingml/2006/picture">
            <wp:extent cx="5486400" cy="2581835"/>
            <wp:docPr id="7" name="Picture 7"/>
            <wp:cNvGraphicFramePr>
              <a:graphicFrameLocks noChangeAspect="1"/>
            </wp:cNvGraphicFramePr>
            <a:graphic>
              <a:graphicData uri="http://schemas.openxmlformats.org/drawingml/2006/picture">
                <pic:pic>
                  <pic:nvPicPr>
                    <pic:cNvPr id="0" name="fig7_weights.png"/>
                    <pic:cNvPicPr/>
                  </pic:nvPicPr>
                  <pic:blipFill>
                    <a:blip r:embed="rId15"/>
                    <a:stretch>
                      <a:fillRect/>
                    </a:stretch>
                  </pic:blipFill>
                  <pic:spPr>
                    <a:xfrm>
                      <a:off x="0" y="0"/>
                      <a:ext cx="5486400" cy="2581835"/>
                    </a:xfrm>
                    <a:prstGeom prst="rect"/>
                  </pic:spPr>
                </pic:pic>
              </a:graphicData>
            </a:graphic>
          </wp:inline>
        </w:drawing>
      </w:r>
    </w:p>
    <w:p>
      <w:pPr>
        <w:pStyle w:val="Heading2"/>
        <w:spacing w:line="480" w:lineRule="auto"/>
      </w:pPr>
      <w:r>
        <w:t>Disease-state extensions</w:t>
      </w:r>
    </w:p>
    <w:p>
      <w:pPr>
        <w:spacing w:line="480" w:lineRule="auto"/>
      </w:pPr>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r>
        <w:drawing>
          <wp:inline xmlns:a="http://schemas.openxmlformats.org/drawingml/2006/main" xmlns:pic="http://schemas.openxmlformats.org/drawingml/2006/picture">
            <wp:extent cx="5486400" cy="1828800"/>
            <wp:docPr id="8" name="Picture 8"/>
            <wp:cNvGraphicFramePr>
              <a:graphicFrameLocks noChangeAspect="1"/>
            </wp:cNvGraphicFramePr>
            <a:graphic>
              <a:graphicData uri="http://schemas.openxmlformats.org/drawingml/2006/picture">
                <pic:pic>
                  <pic:nvPicPr>
                    <pic:cNvPr id="0" name="fig8_disease.png"/>
                    <pic:cNvPicPr/>
                  </pic:nvPicPr>
                  <pic:blipFill>
                    <a:blip r:embed="rId16"/>
                    <a:stretch>
                      <a:fillRect/>
                    </a:stretch>
                  </pic:blipFill>
                  <pic:spPr>
                    <a:xfrm>
                      <a:off x="0" y="0"/>
                      <a:ext cx="5486400" cy="1828800"/>
                    </a:xfrm>
                    <a:prstGeom prst="rect"/>
                  </pic:spPr>
                </pic:pic>
              </a:graphicData>
            </a:graphic>
          </wp:inline>
        </w:drawing>
      </w:r>
    </w:p>
    <w:p>
      <w:pPr>
        <w:pStyle w:val="Heading2"/>
        <w:spacing w:line="480" w:lineRule="auto"/>
      </w:pPr>
      <w:r>
        <w:t>Exploratory HPT extension</w:t>
      </w:r>
    </w:p>
    <w:p>
      <w:pPr>
        <w:spacing w:line="480" w:lineRule="auto"/>
      </w:pPr>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spacing w:line="480" w:lineRule="auto"/>
      </w:pPr>
      <w:r>
        <w:t>Discussion</w:t>
      </w:r>
    </w:p>
    <w:p>
      <w:pPr>
        <w:spacing w:line="480" w:lineRule="auto"/>
      </w:pPr>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pPr>
        <w:spacing w:line="480" w:lineRule="auto"/>
      </w:pPr>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pPr>
        <w:spacing w:line="480" w:lineRule="auto"/>
      </w:pPr>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pPr>
        <w:spacing w:line="480" w:lineRule="auto"/>
      </w:pPr>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spacing w:line="480" w:lineRule="auto"/>
      </w:pPr>
      <w:r>
        <w:t>Declarations</w:t>
      </w:r>
    </w:p>
    <w:p>
      <w:pPr>
        <w:spacing w:line="480" w:lineRule="auto"/>
      </w:pPr>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pPr>
        <w:spacing w:line="480" w:lineRule="auto"/>
      </w:pPr>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pPr>
        <w:spacing w:line="480" w:lineRule="auto"/>
      </w:pPr>
      <w:r/>
      <w:r>
        <w:rPr>
          <w:b/>
        </w:rPr>
        <w:t>Author contributions, funding, competing interests.</w:t>
      </w:r>
      <w:r>
        <w:t xml:space="preserve"> T.O.: conception, analysis, writing. Funding: none declared. The author declares no competing interests.</w:t>
      </w:r>
    </w:p>
    <w:p>
      <w:pPr>
        <w:pStyle w:val="Heading1"/>
        <w:spacing w:line="480" w:lineRule="auto"/>
      </w:pPr>
      <w:r>
        <w:t>References</w:t>
      </w:r>
    </w:p>
    <w:p>
      <w:pPr>
        <w:spacing w:line="480" w:lineRule="auto"/>
      </w:pPr>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spacing w:line="480" w:lineRule="auto"/>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spacing w:line="480" w:lineRule="auto"/>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spacing w:line="480" w:lineRule="auto"/>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equal on glycaemic axes;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pPr>
        <w:spacing w:line="480" w:lineRule="auto"/>
      </w:pPr>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spacing w:line="480" w:lineRule="auto"/>
      </w:pPr>
      <w:r>
        <w:t>Figure captions</w:t>
      </w:r>
    </w:p>
    <w:p>
      <w:pPr>
        <w:spacing w:line="480" w:lineRule="auto"/>
      </w:pPr>
      <w:r>
        <w:t>Figure 1. Model validation: simulated (lines) vs upstream reference data (points) for glucose, insulin and insulin release under 100 g OGTT.</w:t>
      </w:r>
    </w:p>
    <w:p>
      <w:pPr>
        <w:spacing w:line="480" w:lineRule="auto"/>
      </w:pPr>
      <w:r>
        <w:t>Figure 2. Intervention convention. (A) Modulation factor f(u): potentiation 1+2u, inhibition 1−u. (B) Action-efficacy semantics: effective multiplier M_eff = 1 + s(M−1).</w:t>
      </w:r>
    </w:p>
    <w:p>
      <w:pPr>
        <w:spacing w:line="480" w:lineRule="auto"/>
      </w:pPr>
      <w:r>
        <w:t>Figure 3. Composite homeostatic loss L(u) for all interventions across the five challenges.</w:t>
      </w:r>
    </w:p>
    <w:p>
      <w:pPr>
        <w:spacing w:line="480" w:lineRule="auto"/>
      </w:pPr>
      <w:r>
        <w:t>Figure 4. Glucose trajectories at baseline (u=0), interior optimum (u*) and maximum (u=1) for the four strict Type II cases.</w:t>
      </w:r>
    </w:p>
    <w:p>
      <w:pPr>
        <w:spacing w:line="480" w:lineRule="auto"/>
      </w:pPr>
      <w:r>
        <w:t>Figure 5. Weight-independent support: Pareto fronts of hypoglycaemic vs hyperglycaemic burden; labels give u. u* is no worse than u=1 on the glycaemic axes for all Type II cases; 2/4 lie on the frontier.</w:t>
      </w:r>
    </w:p>
    <w:p>
      <w:pPr>
        <w:spacing w:line="480" w:lineRule="auto"/>
      </w:pPr>
      <w:r>
        <w:t>Figure 6. Mechanism of the IVGTT interior optimum: insulin, glucagon and hepatic glucose production at u=0, u* and u=1.</w:t>
      </w:r>
    </w:p>
    <w:p>
      <w:pPr>
        <w:spacing w:line="480" w:lineRule="auto"/>
      </w:pPr>
      <w:r>
        <w:t>Figure 7. Dependence of the optimal modulation u* and classification on loss-function composition (colour bar = u*; cell labels = class).</w:t>
      </w:r>
    </w:p>
    <w:p>
      <w:pPr>
        <w:spacing w:line="480" w:lineRule="auto"/>
      </w:pPr>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lnNumType w:countBy="1" w:start="0" w:distance="24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