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Editors,</w:t>
      </w:r>
    </w:p>
    <w:p>
      <w:r>
        <w:t>We submit the manuscript "Maximum hormonal action is not always optimal:</w:t>
        <w:br/>
        <w:t>interior optima in a previously validated glucose–insulin–glucagon model"</w:t>
        <w:br/>
        <w:t>for consideration in the Journal of Endocrinology.</w:t>
      </w:r>
    </w:p>
    <w:p>
      <w:r>
        <w:t>Using a previously validated whole-body glucose–insulin–glucagon model</w:t>
        <w:br/>
        <w:t>(the Python port reproduced key upstream validation outputs), we show a</w:t>
        <w:br/>
        <w:t>subset of interventions exhibits strict interior optima — moderate</w:t>
        <w:br/>
        <w:t>modulation beats both baseline and maximum — arising from a Braess-like</w:t>
        <w:br/>
        <w:t>tension between opposing failure modes. The optima are stable to grid</w:t>
        <w:br/>
        <w:t>and solver checks, show explicit dependence on loss-function</w:t>
        <w:br/>
        <w:t>composition (reported with denominators), persist in insulin-resistant</w:t>
        <w:br/>
        <w:t>and insulin-deficient states, and receive exploratory corroboration in a</w:t>
        <w:br/>
        <w:t>minimal HPT-axis model.</w:t>
      </w:r>
    </w:p>
    <w:p>
      <w:r>
        <w:t>The study is fully reproducible: the complete pipeline, frozen upstream</w:t>
        <w:br/>
        <w:t>model code, all results, and the figures regenerate with a single</w:t>
        <w:br/>
        <w:t>command. This work is Paper 2 of a methodological series; it is</w:t>
        <w:br/>
        <w:t>self-contained and has not been published or submitted elsewhere. The</w:t>
        <w:br/>
        <w:t>author declares no competing interests. An AI assistant was used for</w:t>
        <w:br/>
        <w:t>implementation support, disclosed in the manuscript.</w:t>
      </w:r>
    </w:p>
    <w:p>
      <w:r>
        <w:t>Sincerely,</w:t>
        <w:br/>
        <w:t>Tatsuki Onishi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