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Material</w:t>
      </w:r>
    </w:p>
    <w:p>
      <w:pPr>
        <w:pStyle w:val="Heading2"/>
      </w:pPr>
      <w:r>
        <w:t>S1. Full classification table</w:t>
      </w:r>
    </w:p>
    <w:p>
      <w:r>
        <w:t>All 50 intervention–challenge combinations are in</w:t>
      </w:r>
    </w:p>
    <w:p>
      <w:r>
        <w:t>`results/scans/full_classification.csv` (machine-readable) and</w:t>
      </w:r>
    </w:p>
    <w:p>
      <w:r>
        <w:t>Table 2 of the manuscript.</w:t>
      </w:r>
    </w:p>
    <w:p>
      <w:pPr>
        <w:pStyle w:val="Heading2"/>
      </w:pPr>
      <w:r>
        <w:t>S2. Sensitivity analyses</w:t>
      </w:r>
    </w:p>
    <w:p>
      <w:r>
        <w:t>`results/robustness/`: weight_sensitivity.csv (each term family ×0.5/×2/0),</w:t>
      </w:r>
    </w:p>
    <w:p>
      <w:r>
        <w:t>grid_density.csv (step 0.10/0.05/0.025), solver_tolerance.csv (rtol 1e-5 vs</w:t>
      </w:r>
    </w:p>
    <w:p>
      <w:r>
        <w:t>1e-7), classification_threshold.csv (rel_thresh 1/2/5 %).</w:t>
      </w:r>
    </w:p>
    <w:p>
      <w:pPr>
        <w:pStyle w:val="Heading2"/>
      </w:pPr>
      <w:r>
        <w:t>S3. Synthetic controls</w:t>
      </w:r>
    </w:p>
    <w:p>
      <w:r>
        <w:t>`results/controls/synthetic_controls.csv`: monotonic worsening/improving,</w:t>
      </w:r>
    </w:p>
    <w:p>
      <w:r>
        <w:t>flat, planted U, edge optimum, inverted-U, and noisy-flat responders are</w:t>
      </w:r>
    </w:p>
    <w:p>
      <w:r>
        <w:t>all classified as designed; interpolation consistency confirmed.</w:t>
      </w:r>
    </w:p>
    <w:p>
      <w:pPr>
        <w:pStyle w:val="Heading2"/>
      </w:pPr>
      <w:r>
        <w:t>S4. Exploratory HPT-axis model (detail)</w:t>
      </w:r>
    </w:p>
    <w:p>
      <w:r>
        <w:t>Minimal 3-ODE TSH–T4–T3 loop (`src/hpt_model.py`, order-of-magnitude</w:t>
      </w:r>
    </w:p>
    <w:p>
      <w:r>
        <w:t>parameters, NOT fitted to clinical data) challenged with a 60-min T4</w:t>
      </w:r>
    </w:p>
    <w:p>
      <w:r>
        <w:t xml:space="preserve">infusion. Thyroid-output </w:t>
      </w:r>
      <w:r>
        <w:rPr>
          <w:i/>
        </w:rPr>
        <w:t>inhibition</w:t>
      </w:r>
      <w:r>
        <w:t xml:space="preserve"> showed a Type II interior optimum</w:t>
      </w:r>
    </w:p>
    <w:p>
      <w:r>
        <w:t>at u* = 0.45 (L 17.93 →</w:t>
      </w:r>
    </w:p>
    <w:p>
      <w:r>
        <w:t>2.71); feedback potentiation improved monotonically</w:t>
      </w:r>
    </w:p>
    <w:p>
      <w:r>
        <w:t>(Type I); thyroid potentiation gave no benefit (Type 0). Classification:</w:t>
      </w:r>
    </w:p>
    <w:p>
      <w:r>
        <w:t>`results/hpt/hpt_classification.csv`. Status: exploratory,</w:t>
      </w:r>
    </w:p>
    <w:p>
      <w:r>
        <w:t>cross-axis hypothesis-generating corroboration only.</w:t>
      </w:r>
    </w:p>
    <w:p>
      <w:pPr>
        <w:pStyle w:val="Heading2"/>
      </w:pPr>
      <w:r>
        <w:t>S5. Disease-state details</w:t>
      </w:r>
    </w:p>
    <w:p>
      <w:r>
        <w:t>`results/disease/disease_classification.csv`: T2DM-like (insulin</w:t>
      </w:r>
    </w:p>
    <w:p>
      <w:r>
        <w:t>signalling × 0.5) and T1DM-like (endogenous insulin secretion abolished) scans for all</w:t>
      </w:r>
    </w:p>
    <w:p>
      <w:r>
        <w:t>interventions × {"fasting", "ogtt"}.</w:t>
      </w:r>
    </w:p>
    <w:p>
      <w:pPr>
        <w:pStyle w:val="Heading2"/>
      </w:pPr>
      <w:r>
        <w:t>S6. Numerical integrity</w:t>
      </w:r>
    </w:p>
    <w:p>
      <w:r>
        <w:t>LSODA rtol 1e-7/atol 1e-9; u=0 reproduces baseline exactly (unit test);</w:t>
      </w:r>
    </w:p>
    <w:p>
      <w:r>
        <w:t>solver determinism verified; basal steady-state drift &lt;</w:t>
      </w:r>
    </w:p>
    <w:p>
      <w:r>
        <w:t>0.03 mg/dL/630 min (`results/qc/basal_drift.csv`).</w:t>
      </w:r>
    </w:p>
    <w:p>
      <w:pPr>
        <w:pStyle w:val="Heading2"/>
      </w:pPr>
      <w:r>
        <w:t>S7. Provenance</w:t>
      </w:r>
    </w:p>
    <w:p>
      <w:r>
        <w:t>Frozen upstream files: `models/primary/upstream/` (commit 1ad94954,</w:t>
      </w:r>
    </w:p>
    <w:p>
      <w:r>
        <w:t>SHA-256 in `models/primary/SHA256SUMS.txt`). Validation dataset:</w:t>
      </w:r>
    </w:p>
    <w:p>
      <w:r>
        <w:t>upstream `Data.xlsx` (OGTT, ~100 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