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4DE" w:rsidRDefault="008A1BB5">
      <w:r>
        <w:rPr>
          <w:noProof/>
        </w:rPr>
        <w:drawing>
          <wp:inline distT="0" distB="0" distL="0" distR="0">
            <wp:extent cx="5324475" cy="4019550"/>
            <wp:effectExtent l="0" t="0" r="9525" b="0"/>
            <wp:docPr id="1" name="Picture 1" descr="H:\Documents\Manuscripts\Maiasaura\Histology overview\Paleobiology\Revision1\Files to upload\Revision 1 Woodward Supplementary 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ocuments\Manuscripts\Maiasaura\Histology overview\Paleobiology\Revision1\Files to upload\Revision 1 Woodward Supplementary Figure 1.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24475" cy="4019550"/>
                    </a:xfrm>
                    <a:prstGeom prst="rect">
                      <a:avLst/>
                    </a:prstGeom>
                    <a:noFill/>
                    <a:ln>
                      <a:noFill/>
                    </a:ln>
                  </pic:spPr>
                </pic:pic>
              </a:graphicData>
            </a:graphic>
          </wp:inline>
        </w:drawing>
      </w:r>
    </w:p>
    <w:p w:rsidR="008A1BB5" w:rsidRDefault="008A1BB5"/>
    <w:p w:rsidR="008A1BB5" w:rsidRPr="00F045DA" w:rsidRDefault="008A1BB5" w:rsidP="008A1BB5">
      <w:pPr>
        <w:spacing w:line="480" w:lineRule="auto"/>
        <w:rPr>
          <w:rFonts w:ascii="Times New Roman" w:hAnsi="Times New Roman"/>
          <w:sz w:val="24"/>
          <w:szCs w:val="24"/>
        </w:rPr>
      </w:pPr>
      <w:r w:rsidRPr="00F045DA">
        <w:rPr>
          <w:rFonts w:ascii="Times New Roman" w:hAnsi="Times New Roman"/>
          <w:sz w:val="24"/>
          <w:szCs w:val="24"/>
        </w:rPr>
        <w:t xml:space="preserve">Supplementary Figure 1. Line drawings of </w:t>
      </w:r>
      <w:r w:rsidRPr="00C77B05">
        <w:rPr>
          <w:rFonts w:ascii="Times New Roman" w:hAnsi="Times New Roman"/>
          <w:i/>
          <w:sz w:val="24"/>
          <w:szCs w:val="24"/>
        </w:rPr>
        <w:t>Maiasaura</w:t>
      </w:r>
      <w:r>
        <w:rPr>
          <w:rFonts w:ascii="Times New Roman" w:hAnsi="Times New Roman"/>
          <w:sz w:val="24"/>
          <w:szCs w:val="24"/>
        </w:rPr>
        <w:t xml:space="preserve"> </w:t>
      </w:r>
      <w:r w:rsidRPr="00F045DA">
        <w:rPr>
          <w:rFonts w:ascii="Times New Roman" w:hAnsi="Times New Roman"/>
          <w:sz w:val="24"/>
          <w:szCs w:val="24"/>
        </w:rPr>
        <w:t>tibiae from the sample representing an ontogenetic progression from less than one year of age (T1) to skeletal maturity (T46). The proximal ends of T30, T33, T35, and T46 are partially broken, but enough original surface remains for reasonable tibia length estimates. Horizontal black lines represent the location of the minimum (least) diaphyseal circumference measurement for each tibia. LC = LAG count; TL = Tibia length; MC = the distance from the tip of the lateral malleolus to the minimum diaphyseal circumference express as a percentage of total tibia length. Regardless of ontogenetic status, MC was found to vary individually (mean MC = 48.</w:t>
      </w:r>
      <w:r>
        <w:rPr>
          <w:rFonts w:ascii="Times New Roman" w:hAnsi="Times New Roman"/>
          <w:sz w:val="24"/>
          <w:szCs w:val="24"/>
        </w:rPr>
        <w:t>12</w:t>
      </w:r>
      <w:r w:rsidRPr="00F045DA">
        <w:rPr>
          <w:rFonts w:ascii="Times New Roman" w:hAnsi="Times New Roman"/>
          <w:sz w:val="24"/>
          <w:szCs w:val="24"/>
        </w:rPr>
        <w:t>%</w:t>
      </w:r>
      <w:r>
        <w:rPr>
          <w:rFonts w:ascii="Times New Roman" w:hAnsi="Times New Roman"/>
          <w:sz w:val="24"/>
          <w:szCs w:val="24"/>
        </w:rPr>
        <w:t>, σ = 6.31%, n = 43</w:t>
      </w:r>
      <w:r w:rsidRPr="00F045DA">
        <w:rPr>
          <w:rFonts w:ascii="Times New Roman" w:hAnsi="Times New Roman"/>
          <w:sz w:val="24"/>
          <w:szCs w:val="24"/>
        </w:rPr>
        <w:t>).</w:t>
      </w:r>
    </w:p>
    <w:p w:rsidR="00D81935" w:rsidRDefault="00D81935"/>
    <w:p w:rsidR="00D81935" w:rsidRDefault="00D81935">
      <w:r>
        <w:br w:type="page"/>
      </w:r>
    </w:p>
    <w:p w:rsidR="008A1BB5" w:rsidRDefault="00D81935">
      <w:r>
        <w:rPr>
          <w:noProof/>
        </w:rPr>
        <w:lastRenderedPageBreak/>
        <w:drawing>
          <wp:inline distT="0" distB="0" distL="0" distR="0">
            <wp:extent cx="5219700" cy="8229600"/>
            <wp:effectExtent l="0" t="0" r="0" b="0"/>
            <wp:docPr id="2" name="Picture 2" descr="H:\Documents\Manuscripts\Maiasaura\Histology overview\Paleobiology\Revision1\Files to upload\Revision 1 Woodward Supplementary Figur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Documents\Manuscripts\Maiasaura\Histology overview\Paleobiology\Revision1\Files to upload\Revision 1 Woodward Supplementary Figure 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19700" cy="8229600"/>
                    </a:xfrm>
                    <a:prstGeom prst="rect">
                      <a:avLst/>
                    </a:prstGeom>
                    <a:noFill/>
                    <a:ln>
                      <a:noFill/>
                    </a:ln>
                  </pic:spPr>
                </pic:pic>
              </a:graphicData>
            </a:graphic>
          </wp:inline>
        </w:drawing>
      </w:r>
    </w:p>
    <w:p w:rsidR="00D81935" w:rsidRDefault="00D81935" w:rsidP="00D81935">
      <w:pPr>
        <w:spacing w:line="480" w:lineRule="auto"/>
        <w:rPr>
          <w:rFonts w:ascii="Times New Roman" w:hAnsi="Times New Roman"/>
          <w:sz w:val="24"/>
          <w:szCs w:val="24"/>
        </w:rPr>
      </w:pPr>
      <w:r w:rsidRPr="00F045DA">
        <w:rPr>
          <w:rFonts w:ascii="Times New Roman" w:hAnsi="Times New Roman"/>
          <w:sz w:val="24"/>
          <w:szCs w:val="24"/>
        </w:rPr>
        <w:t xml:space="preserve">Supplementary Figure 2. Growth curves for </w:t>
      </w:r>
      <w:r w:rsidRPr="00F045DA">
        <w:rPr>
          <w:rFonts w:ascii="Times New Roman" w:hAnsi="Times New Roman"/>
          <w:i/>
          <w:sz w:val="24"/>
          <w:szCs w:val="24"/>
        </w:rPr>
        <w:t xml:space="preserve">Maiasaura </w:t>
      </w:r>
      <w:proofErr w:type="spellStart"/>
      <w:r w:rsidRPr="00F045DA">
        <w:rPr>
          <w:rFonts w:ascii="Times New Roman" w:hAnsi="Times New Roman"/>
          <w:i/>
          <w:sz w:val="24"/>
          <w:szCs w:val="24"/>
        </w:rPr>
        <w:t>peeblesorum</w:t>
      </w:r>
      <w:proofErr w:type="spellEnd"/>
      <w:r w:rsidRPr="00F045DA">
        <w:rPr>
          <w:rFonts w:ascii="Times New Roman" w:hAnsi="Times New Roman"/>
          <w:sz w:val="24"/>
          <w:szCs w:val="24"/>
        </w:rPr>
        <w:t xml:space="preserve">. Age in years (determined by the number of LAGs) is plotted against size: A) </w:t>
      </w:r>
      <w:r>
        <w:rPr>
          <w:rFonts w:ascii="Times New Roman" w:hAnsi="Times New Roman"/>
          <w:sz w:val="24"/>
          <w:szCs w:val="24"/>
        </w:rPr>
        <w:t>body length</w:t>
      </w:r>
      <w:r w:rsidRPr="00F045DA">
        <w:rPr>
          <w:rFonts w:ascii="Times New Roman" w:hAnsi="Times New Roman"/>
          <w:sz w:val="24"/>
          <w:szCs w:val="24"/>
        </w:rPr>
        <w:t xml:space="preserve">, B) </w:t>
      </w:r>
      <w:r>
        <w:rPr>
          <w:rFonts w:ascii="Times New Roman" w:hAnsi="Times New Roman"/>
          <w:sz w:val="24"/>
          <w:szCs w:val="24"/>
        </w:rPr>
        <w:t>tibia length</w:t>
      </w:r>
      <w:r w:rsidRPr="00F045DA">
        <w:rPr>
          <w:rFonts w:ascii="Times New Roman" w:hAnsi="Times New Roman"/>
          <w:sz w:val="24"/>
          <w:szCs w:val="24"/>
        </w:rPr>
        <w:t xml:space="preserve">. The monomolecular model was used to plot </w:t>
      </w:r>
      <w:r>
        <w:rPr>
          <w:rFonts w:ascii="Times New Roman" w:hAnsi="Times New Roman"/>
          <w:sz w:val="24"/>
          <w:szCs w:val="24"/>
        </w:rPr>
        <w:t>body length as well as tibia length</w:t>
      </w:r>
      <w:r w:rsidRPr="00F045DA">
        <w:rPr>
          <w:rFonts w:ascii="Times New Roman" w:hAnsi="Times New Roman"/>
          <w:sz w:val="24"/>
          <w:szCs w:val="24"/>
        </w:rPr>
        <w:t>. Mean curves were fitted based on the five largest tibiae included in the graph; the four smaller tibiae with only two LAGs did not have enough data points to fit the models. The 95% confidence intervals are based on mean residual standard error around the mean curve, not the individual curves. Yellow bar indicates hypothesized age at which individuals would become sexually mature.</w:t>
      </w:r>
    </w:p>
    <w:p w:rsidR="00D81935" w:rsidRDefault="00D81935"/>
    <w:p w:rsidR="00D81935" w:rsidRDefault="00D81935">
      <w:r>
        <w:br w:type="page"/>
      </w:r>
    </w:p>
    <w:p w:rsidR="00D81935" w:rsidRDefault="00D81935">
      <w:r>
        <w:rPr>
          <w:noProof/>
        </w:rPr>
        <w:drawing>
          <wp:inline distT="0" distB="0" distL="0" distR="0">
            <wp:extent cx="5305425" cy="4524375"/>
            <wp:effectExtent l="0" t="0" r="9525" b="9525"/>
            <wp:docPr id="3" name="Picture 3" descr="H:\Documents\Manuscripts\Maiasaura\Histology overview\Paleobiology\Revision1\Files to upload\Revision 1 Woodward Supplementary Fig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Manuscripts\Maiasaura\Histology overview\Paleobiology\Revision1\Files to upload\Revision 1 Woodward Supplementary Figure 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05425" cy="4524375"/>
                    </a:xfrm>
                    <a:prstGeom prst="rect">
                      <a:avLst/>
                    </a:prstGeom>
                    <a:noFill/>
                    <a:ln>
                      <a:noFill/>
                    </a:ln>
                  </pic:spPr>
                </pic:pic>
              </a:graphicData>
            </a:graphic>
          </wp:inline>
        </w:drawing>
      </w:r>
    </w:p>
    <w:p w:rsidR="00D81935" w:rsidRDefault="00D81935" w:rsidP="00D81935">
      <w:pPr>
        <w:spacing w:line="480" w:lineRule="auto"/>
        <w:rPr>
          <w:rFonts w:ascii="Times New Roman" w:eastAsia="Times New Roman" w:hAnsi="Times New Roman"/>
          <w:sz w:val="24"/>
          <w:szCs w:val="24"/>
        </w:rPr>
      </w:pPr>
      <w:r>
        <w:rPr>
          <w:rFonts w:ascii="Times New Roman" w:hAnsi="Times New Roman"/>
          <w:sz w:val="24"/>
          <w:szCs w:val="24"/>
        </w:rPr>
        <w:t xml:space="preserve">Supplementary Figure 3. A plot comparing the cube root of </w:t>
      </w:r>
      <w:r w:rsidRPr="0023616E">
        <w:rPr>
          <w:rFonts w:ascii="Times New Roman" w:hAnsi="Times New Roman"/>
          <w:i/>
          <w:sz w:val="24"/>
          <w:szCs w:val="24"/>
        </w:rPr>
        <w:t>Alligator mississippiensi</w:t>
      </w:r>
      <w:r>
        <w:rPr>
          <w:rFonts w:ascii="Times New Roman" w:hAnsi="Times New Roman"/>
          <w:sz w:val="24"/>
          <w:szCs w:val="24"/>
        </w:rPr>
        <w:t xml:space="preserve">s body mass (kg) to the square root of </w:t>
      </w:r>
      <w:r w:rsidRPr="0023616E">
        <w:rPr>
          <w:rFonts w:ascii="Times New Roman" w:hAnsi="Times New Roman"/>
          <w:i/>
          <w:sz w:val="24"/>
          <w:szCs w:val="24"/>
        </w:rPr>
        <w:t>Alligator mississippiensis</w:t>
      </w:r>
      <w:r>
        <w:rPr>
          <w:rFonts w:ascii="Times New Roman" w:hAnsi="Times New Roman"/>
          <w:sz w:val="24"/>
          <w:szCs w:val="24"/>
        </w:rPr>
        <w:t xml:space="preserve"> femur </w:t>
      </w:r>
      <w:proofErr w:type="spellStart"/>
      <w:r>
        <w:rPr>
          <w:rFonts w:ascii="Times New Roman" w:hAnsi="Times New Roman"/>
          <w:sz w:val="24"/>
          <w:szCs w:val="24"/>
        </w:rPr>
        <w:t>midshaft</w:t>
      </w:r>
      <w:proofErr w:type="spellEnd"/>
      <w:r>
        <w:rPr>
          <w:rFonts w:ascii="Times New Roman" w:hAnsi="Times New Roman"/>
          <w:sz w:val="24"/>
          <w:szCs w:val="24"/>
        </w:rPr>
        <w:t xml:space="preserve"> cross-sectional area (mm), obtained from the dataset used in Farlow et al., 2005. The sample includes 54 individuals and results in a strong linear correlation (R</w:t>
      </w:r>
      <w:r w:rsidRPr="0023616E">
        <w:rPr>
          <w:rFonts w:ascii="Times New Roman" w:hAnsi="Times New Roman"/>
          <w:sz w:val="24"/>
          <w:szCs w:val="24"/>
          <w:vertAlign w:val="superscript"/>
        </w:rPr>
        <w:t>2</w:t>
      </w:r>
      <w:r>
        <w:rPr>
          <w:rFonts w:ascii="Times New Roman" w:hAnsi="Times New Roman"/>
          <w:sz w:val="24"/>
          <w:szCs w:val="24"/>
        </w:rPr>
        <w:t xml:space="preserve"> = 0.97</w:t>
      </w:r>
      <w:proofErr w:type="gramStart"/>
      <w:r>
        <w:rPr>
          <w:rFonts w:ascii="Times New Roman" w:hAnsi="Times New Roman"/>
          <w:sz w:val="24"/>
          <w:szCs w:val="24"/>
        </w:rPr>
        <w:t xml:space="preserve">; </w:t>
      </w:r>
      <w:proofErr w:type="gramEnd"/>
      <m:oMath>
        <m:r>
          <w:rPr>
            <w:rFonts w:ascii="Cambria Math" w:hAnsi="Cambria Math"/>
            <w:sz w:val="24"/>
            <w:szCs w:val="24"/>
          </w:rPr>
          <m:t>y=4.339x-0.561</m:t>
        </m:r>
      </m:oMath>
      <w:r w:rsidRPr="00A05459">
        <w:rPr>
          <w:rFonts w:ascii="Times New Roman" w:eastAsia="Times New Roman" w:hAnsi="Times New Roman"/>
          <w:sz w:val="24"/>
          <w:szCs w:val="24"/>
        </w:rPr>
        <w:t>). LA, Louisiana; FL, Florida.</w:t>
      </w:r>
    </w:p>
    <w:p w:rsidR="00EE2707" w:rsidRPr="00A05459" w:rsidRDefault="00EE2707" w:rsidP="00D81935">
      <w:pPr>
        <w:spacing w:line="480" w:lineRule="auto"/>
        <w:rPr>
          <w:rFonts w:ascii="Times New Roman" w:eastAsia="Times New Roman" w:hAnsi="Times New Roman"/>
          <w:sz w:val="24"/>
          <w:szCs w:val="24"/>
        </w:rPr>
      </w:pPr>
    </w:p>
    <w:p w:rsidR="00EE2707" w:rsidRPr="00F045DA" w:rsidRDefault="00EE2707" w:rsidP="00EE2707">
      <w:pPr>
        <w:spacing w:line="480" w:lineRule="auto"/>
        <w:rPr>
          <w:rFonts w:ascii="Times New Roman" w:hAnsi="Times New Roman"/>
          <w:sz w:val="24"/>
          <w:szCs w:val="24"/>
        </w:rPr>
      </w:pPr>
      <w:r>
        <w:rPr>
          <w:rFonts w:ascii="Times New Roman" w:hAnsi="Times New Roman"/>
          <w:sz w:val="24"/>
          <w:szCs w:val="24"/>
        </w:rPr>
        <w:t>Literature Cited</w:t>
      </w:r>
      <w:r w:rsidRPr="00F045DA">
        <w:rPr>
          <w:rFonts w:ascii="Times New Roman" w:hAnsi="Times New Roman"/>
          <w:sz w:val="24"/>
          <w:szCs w:val="24"/>
        </w:rPr>
        <w:t>:</w:t>
      </w:r>
    </w:p>
    <w:p w:rsidR="00EE2707" w:rsidRPr="00F045DA" w:rsidRDefault="00EE2707" w:rsidP="00EE2707">
      <w:pPr>
        <w:spacing w:line="480" w:lineRule="auto"/>
        <w:rPr>
          <w:rFonts w:ascii="Times New Roman" w:hAnsi="Times New Roman"/>
          <w:sz w:val="24"/>
          <w:szCs w:val="24"/>
        </w:rPr>
      </w:pPr>
      <w:r w:rsidRPr="00F045DA">
        <w:rPr>
          <w:rFonts w:ascii="Times New Roman" w:hAnsi="Times New Roman"/>
          <w:sz w:val="24"/>
          <w:szCs w:val="24"/>
        </w:rPr>
        <w:t xml:space="preserve">Farlow, J. O., G. R. </w:t>
      </w:r>
      <w:proofErr w:type="spellStart"/>
      <w:r w:rsidRPr="00F045DA">
        <w:rPr>
          <w:rFonts w:ascii="Times New Roman" w:hAnsi="Times New Roman"/>
          <w:sz w:val="24"/>
          <w:szCs w:val="24"/>
        </w:rPr>
        <w:t>Hurlburt</w:t>
      </w:r>
      <w:proofErr w:type="spellEnd"/>
      <w:r w:rsidRPr="00F045DA">
        <w:rPr>
          <w:rFonts w:ascii="Times New Roman" w:hAnsi="Times New Roman"/>
          <w:sz w:val="24"/>
          <w:szCs w:val="24"/>
        </w:rPr>
        <w:t xml:space="preserve">, R. M. </w:t>
      </w:r>
      <w:proofErr w:type="spellStart"/>
      <w:r w:rsidRPr="00F045DA">
        <w:rPr>
          <w:rFonts w:ascii="Times New Roman" w:hAnsi="Times New Roman"/>
          <w:sz w:val="24"/>
          <w:szCs w:val="24"/>
        </w:rPr>
        <w:t>Elsey</w:t>
      </w:r>
      <w:proofErr w:type="spellEnd"/>
      <w:r w:rsidRPr="00F045DA">
        <w:rPr>
          <w:rFonts w:ascii="Times New Roman" w:hAnsi="Times New Roman"/>
          <w:sz w:val="24"/>
          <w:szCs w:val="24"/>
        </w:rPr>
        <w:t xml:space="preserve">, A. R. C. Britton, and W. Langston Jr. 2005. Femoral dimensions and body size of Alligator mississippiensis: estimating the size of extinct </w:t>
      </w:r>
      <w:proofErr w:type="spellStart"/>
      <w:r w:rsidRPr="00F045DA">
        <w:rPr>
          <w:rFonts w:ascii="Times New Roman" w:hAnsi="Times New Roman"/>
          <w:sz w:val="24"/>
          <w:szCs w:val="24"/>
        </w:rPr>
        <w:t>mesoeucrocodylians</w:t>
      </w:r>
      <w:proofErr w:type="spellEnd"/>
      <w:r w:rsidRPr="00F045DA">
        <w:rPr>
          <w:rFonts w:ascii="Times New Roman" w:hAnsi="Times New Roman"/>
          <w:sz w:val="24"/>
          <w:szCs w:val="24"/>
        </w:rPr>
        <w:t>. Journal of Vertebrate Paleontology 25(2):354-369.</w:t>
      </w:r>
    </w:p>
    <w:p w:rsidR="00D84124" w:rsidRDefault="00D84124"/>
    <w:tbl>
      <w:tblPr>
        <w:tblW w:w="10400" w:type="dxa"/>
        <w:tblLook w:val="04A0" w:firstRow="1" w:lastRow="0" w:firstColumn="1" w:lastColumn="0" w:noHBand="0" w:noVBand="1"/>
      </w:tblPr>
      <w:tblGrid>
        <w:gridCol w:w="1339"/>
        <w:gridCol w:w="1595"/>
        <w:gridCol w:w="2049"/>
        <w:gridCol w:w="2049"/>
        <w:gridCol w:w="2049"/>
        <w:gridCol w:w="1319"/>
      </w:tblGrid>
      <w:tr w:rsidR="00D84124" w:rsidRPr="00232BE3" w:rsidTr="00DE118B">
        <w:trPr>
          <w:trHeight w:val="3165"/>
        </w:trPr>
        <w:tc>
          <w:tcPr>
            <w:tcW w:w="10400" w:type="dxa"/>
            <w:gridSpan w:val="6"/>
            <w:tcBorders>
              <w:top w:val="nil"/>
              <w:left w:val="nil"/>
              <w:bottom w:val="single" w:sz="4" w:space="0" w:color="auto"/>
              <w:right w:val="nil"/>
            </w:tcBorders>
            <w:shd w:val="clear" w:color="auto" w:fill="auto"/>
            <w:hideMark/>
          </w:tcPr>
          <w:p w:rsidR="00D84124" w:rsidRPr="00232BE3" w:rsidRDefault="00D84124" w:rsidP="00DE118B">
            <w:pPr>
              <w:rPr>
                <w:rFonts w:ascii="Times New Roman" w:eastAsia="Times New Roman" w:hAnsi="Times New Roman"/>
                <w:sz w:val="24"/>
                <w:szCs w:val="24"/>
              </w:rPr>
            </w:pPr>
            <w:r w:rsidRPr="00232BE3">
              <w:rPr>
                <w:rFonts w:ascii="Times New Roman" w:eastAsia="Times New Roman" w:hAnsi="Times New Roman"/>
                <w:sz w:val="24"/>
                <w:szCs w:val="24"/>
              </w:rPr>
              <w:t xml:space="preserve">Supplementary Table 1. Raw data measurements, LAG count, and EFS LAG count (if applicable) obtained for </w:t>
            </w:r>
            <w:r w:rsidRPr="00232BE3">
              <w:rPr>
                <w:rFonts w:ascii="Times New Roman" w:eastAsia="Times New Roman" w:hAnsi="Times New Roman"/>
                <w:i/>
                <w:iCs/>
                <w:sz w:val="24"/>
                <w:szCs w:val="24"/>
              </w:rPr>
              <w:t>Maiasaura</w:t>
            </w:r>
            <w:r w:rsidRPr="00232BE3">
              <w:rPr>
                <w:rFonts w:ascii="Times New Roman" w:eastAsia="Times New Roman" w:hAnsi="Times New Roman"/>
                <w:sz w:val="24"/>
                <w:szCs w:val="24"/>
              </w:rPr>
              <w:t xml:space="preserve"> tibiae used in this population histology analysis, as well as calculations of associated femur length.  Femur length is determined from tibia measurements and then by using the fibula to femur length ratio (using fibula length as a proxy for tibia length) from the Royal Ontario Museum </w:t>
            </w:r>
            <w:r w:rsidRPr="00232BE3">
              <w:rPr>
                <w:rFonts w:ascii="Times New Roman" w:eastAsia="Times New Roman" w:hAnsi="Times New Roman"/>
                <w:i/>
                <w:iCs/>
                <w:sz w:val="24"/>
                <w:szCs w:val="24"/>
              </w:rPr>
              <w:t>Maiasaura</w:t>
            </w:r>
            <w:r w:rsidRPr="00232BE3">
              <w:rPr>
                <w:rFonts w:ascii="Times New Roman" w:eastAsia="Times New Roman" w:hAnsi="Times New Roman"/>
                <w:sz w:val="24"/>
                <w:szCs w:val="24"/>
              </w:rPr>
              <w:t xml:space="preserve"> specimen ROM 44770. Asterisks </w:t>
            </w:r>
            <w:proofErr w:type="gramStart"/>
            <w:r w:rsidRPr="00232BE3">
              <w:rPr>
                <w:rFonts w:ascii="Times New Roman" w:eastAsia="Times New Roman" w:hAnsi="Times New Roman"/>
                <w:sz w:val="24"/>
                <w:szCs w:val="24"/>
              </w:rPr>
              <w:t>( *</w:t>
            </w:r>
            <w:proofErr w:type="gramEnd"/>
            <w:r w:rsidRPr="00232BE3">
              <w:rPr>
                <w:rFonts w:ascii="Times New Roman" w:eastAsia="Times New Roman" w:hAnsi="Times New Roman"/>
                <w:sz w:val="24"/>
                <w:szCs w:val="24"/>
              </w:rPr>
              <w:t xml:space="preserve"> ) in the table indicate circumference measurement estimates from tibiae with somewhat damaged cortex or eroded periosteal surface, and carats ( </w:t>
            </w:r>
            <w:r w:rsidRPr="00232BE3">
              <w:rPr>
                <w:rFonts w:ascii="Times New Roman" w:eastAsia="Times New Roman" w:hAnsi="Times New Roman"/>
                <w:sz w:val="24"/>
                <w:szCs w:val="24"/>
                <w:vertAlign w:val="superscript"/>
              </w:rPr>
              <w:t>^</w:t>
            </w:r>
            <w:r w:rsidRPr="00232BE3">
              <w:rPr>
                <w:rFonts w:ascii="Times New Roman" w:eastAsia="Times New Roman" w:hAnsi="Times New Roman"/>
                <w:sz w:val="24"/>
                <w:szCs w:val="24"/>
              </w:rPr>
              <w:t xml:space="preserve"> ) denote tibiae with broken proximal or distal epiphyses but for which length estimates were made. A square superscript </w:t>
            </w:r>
            <w:proofErr w:type="gramStart"/>
            <w:r w:rsidRPr="00232BE3">
              <w:rPr>
                <w:rFonts w:ascii="Times New Roman" w:eastAsia="Times New Roman" w:hAnsi="Times New Roman"/>
                <w:sz w:val="24"/>
                <w:szCs w:val="24"/>
              </w:rPr>
              <w:t xml:space="preserve">( </w:t>
            </w:r>
            <w:r w:rsidRPr="00232BE3">
              <w:rPr>
                <w:rFonts w:eastAsia="Times New Roman"/>
                <w:sz w:val="24"/>
                <w:szCs w:val="24"/>
                <w:vertAlign w:val="superscript"/>
              </w:rPr>
              <w:t>□</w:t>
            </w:r>
            <w:proofErr w:type="gramEnd"/>
            <w:r w:rsidRPr="00232BE3">
              <w:rPr>
                <w:rFonts w:eastAsia="Times New Roman"/>
                <w:sz w:val="24"/>
                <w:szCs w:val="24"/>
                <w:vertAlign w:val="superscript"/>
              </w:rPr>
              <w:t xml:space="preserve"> </w:t>
            </w:r>
            <w:r w:rsidRPr="00232BE3">
              <w:rPr>
                <w:rFonts w:ascii="Times New Roman" w:eastAsia="Times New Roman" w:hAnsi="Times New Roman"/>
                <w:sz w:val="24"/>
                <w:szCs w:val="24"/>
              </w:rPr>
              <w:t xml:space="preserve">) indicates tibiae used to perform the analyses in Table 1. Tibiae not used in constructing diaphyseal circumference and cortical area regressions are indicated with a diamond superscript </w:t>
            </w:r>
            <w:proofErr w:type="gramStart"/>
            <w:r w:rsidRPr="00232BE3">
              <w:rPr>
                <w:rFonts w:ascii="Times New Roman" w:eastAsia="Times New Roman" w:hAnsi="Times New Roman"/>
                <w:sz w:val="24"/>
                <w:szCs w:val="24"/>
              </w:rPr>
              <w:t xml:space="preserve">( </w:t>
            </w:r>
            <w:r w:rsidRPr="00232BE3">
              <w:rPr>
                <w:rFonts w:ascii="Times New Roman" w:eastAsia="Times New Roman" w:hAnsi="Times New Roman"/>
                <w:sz w:val="24"/>
                <w:szCs w:val="24"/>
                <w:vertAlign w:val="superscript"/>
              </w:rPr>
              <w:t>◊</w:t>
            </w:r>
            <w:proofErr w:type="gramEnd"/>
            <w:r w:rsidRPr="00232BE3">
              <w:rPr>
                <w:rFonts w:ascii="Times New Roman" w:eastAsia="Times New Roman" w:hAnsi="Times New Roman"/>
                <w:sz w:val="24"/>
                <w:szCs w:val="24"/>
                <w:vertAlign w:val="superscript"/>
              </w:rPr>
              <w:t xml:space="preserve"> </w:t>
            </w:r>
            <w:r w:rsidRPr="00232BE3">
              <w:rPr>
                <w:rFonts w:ascii="Times New Roman" w:eastAsia="Times New Roman" w:hAnsi="Times New Roman"/>
                <w:sz w:val="24"/>
                <w:szCs w:val="24"/>
              </w:rPr>
              <w:t>).</w:t>
            </w:r>
          </w:p>
        </w:tc>
      </w:tr>
      <w:tr w:rsidR="00D84124" w:rsidRPr="00232BE3" w:rsidTr="00DE118B">
        <w:trPr>
          <w:trHeight w:val="915"/>
        </w:trPr>
        <w:tc>
          <w:tcPr>
            <w:tcW w:w="1339" w:type="dxa"/>
            <w:tcBorders>
              <w:top w:val="nil"/>
              <w:left w:val="nil"/>
              <w:bottom w:val="double" w:sz="6" w:space="0" w:color="auto"/>
              <w:right w:val="nil"/>
            </w:tcBorders>
            <w:shd w:val="clear" w:color="auto" w:fill="auto"/>
            <w:vAlign w:val="center"/>
            <w:hideMark/>
          </w:tcPr>
          <w:p w:rsidR="00D84124" w:rsidRPr="00232BE3" w:rsidRDefault="00D84124" w:rsidP="00DE118B">
            <w:pPr>
              <w:jc w:val="center"/>
              <w:rPr>
                <w:rFonts w:eastAsia="Times New Roman" w:cs="Arial"/>
              </w:rPr>
            </w:pPr>
            <w:r w:rsidRPr="00232BE3">
              <w:rPr>
                <w:rFonts w:eastAsia="Times New Roman" w:cs="Arial"/>
                <w:i/>
                <w:iCs/>
              </w:rPr>
              <w:t>Maiasaura</w:t>
            </w:r>
            <w:r w:rsidRPr="00232BE3">
              <w:rPr>
                <w:rFonts w:eastAsia="Times New Roman" w:cs="Arial"/>
              </w:rPr>
              <w:t xml:space="preserve"> Tibia Code</w:t>
            </w:r>
          </w:p>
        </w:tc>
        <w:tc>
          <w:tcPr>
            <w:tcW w:w="1595" w:type="dxa"/>
            <w:tcBorders>
              <w:top w:val="nil"/>
              <w:left w:val="nil"/>
              <w:bottom w:val="double" w:sz="6" w:space="0" w:color="auto"/>
              <w:right w:val="nil"/>
            </w:tcBorders>
            <w:shd w:val="clear" w:color="auto" w:fill="auto"/>
            <w:noWrap/>
            <w:vAlign w:val="center"/>
            <w:hideMark/>
          </w:tcPr>
          <w:p w:rsidR="00D84124" w:rsidRPr="00232BE3" w:rsidRDefault="00D84124" w:rsidP="00DE118B">
            <w:pPr>
              <w:jc w:val="center"/>
              <w:rPr>
                <w:rFonts w:eastAsia="Times New Roman" w:cs="Arial"/>
              </w:rPr>
            </w:pPr>
            <w:r w:rsidRPr="00232BE3">
              <w:rPr>
                <w:rFonts w:eastAsia="Times New Roman" w:cs="Arial"/>
              </w:rPr>
              <w:t>Tibia Length (cm)</w:t>
            </w:r>
          </w:p>
        </w:tc>
        <w:tc>
          <w:tcPr>
            <w:tcW w:w="2049" w:type="dxa"/>
            <w:tcBorders>
              <w:top w:val="nil"/>
              <w:left w:val="nil"/>
              <w:bottom w:val="double" w:sz="6" w:space="0" w:color="auto"/>
              <w:right w:val="nil"/>
            </w:tcBorders>
            <w:shd w:val="clear" w:color="auto" w:fill="auto"/>
            <w:vAlign w:val="center"/>
            <w:hideMark/>
          </w:tcPr>
          <w:p w:rsidR="00D84124" w:rsidRPr="00232BE3" w:rsidRDefault="00D84124" w:rsidP="00DE118B">
            <w:pPr>
              <w:jc w:val="center"/>
              <w:rPr>
                <w:rFonts w:eastAsia="Times New Roman" w:cs="Arial"/>
              </w:rPr>
            </w:pPr>
            <w:r w:rsidRPr="00232BE3">
              <w:rPr>
                <w:rFonts w:eastAsia="Times New Roman" w:cs="Arial"/>
              </w:rPr>
              <w:t>Minimum Diaphyseal Circumference (cm)</w:t>
            </w:r>
          </w:p>
        </w:tc>
        <w:tc>
          <w:tcPr>
            <w:tcW w:w="2049" w:type="dxa"/>
            <w:tcBorders>
              <w:top w:val="nil"/>
              <w:left w:val="nil"/>
              <w:bottom w:val="double" w:sz="6" w:space="0" w:color="auto"/>
              <w:right w:val="nil"/>
            </w:tcBorders>
            <w:shd w:val="clear" w:color="auto" w:fill="auto"/>
            <w:vAlign w:val="center"/>
            <w:hideMark/>
          </w:tcPr>
          <w:p w:rsidR="00D84124" w:rsidRPr="00232BE3" w:rsidRDefault="00D84124" w:rsidP="00DE118B">
            <w:pPr>
              <w:jc w:val="center"/>
              <w:rPr>
                <w:rFonts w:eastAsia="Times New Roman" w:cs="Arial"/>
              </w:rPr>
            </w:pPr>
            <w:r w:rsidRPr="00232BE3">
              <w:rPr>
                <w:rFonts w:eastAsia="Times New Roman" w:cs="Arial"/>
              </w:rPr>
              <w:t>Calculated Femur Length (cm)</w:t>
            </w:r>
          </w:p>
        </w:tc>
        <w:tc>
          <w:tcPr>
            <w:tcW w:w="2049" w:type="dxa"/>
            <w:tcBorders>
              <w:top w:val="nil"/>
              <w:left w:val="nil"/>
              <w:bottom w:val="double" w:sz="6" w:space="0" w:color="auto"/>
              <w:right w:val="nil"/>
            </w:tcBorders>
            <w:shd w:val="clear" w:color="auto" w:fill="auto"/>
            <w:vAlign w:val="center"/>
            <w:hideMark/>
          </w:tcPr>
          <w:p w:rsidR="00D84124" w:rsidRPr="00232BE3" w:rsidRDefault="00D84124" w:rsidP="00DE118B">
            <w:pPr>
              <w:jc w:val="center"/>
              <w:rPr>
                <w:rFonts w:eastAsia="Times New Roman" w:cs="Arial"/>
              </w:rPr>
            </w:pPr>
            <w:r w:rsidRPr="00232BE3">
              <w:rPr>
                <w:rFonts w:eastAsia="Times New Roman" w:cs="Arial"/>
              </w:rPr>
              <w:t>LAG Count</w:t>
            </w:r>
          </w:p>
        </w:tc>
        <w:tc>
          <w:tcPr>
            <w:tcW w:w="1319" w:type="dxa"/>
            <w:tcBorders>
              <w:top w:val="nil"/>
              <w:left w:val="nil"/>
              <w:bottom w:val="double" w:sz="6" w:space="0" w:color="auto"/>
              <w:right w:val="nil"/>
            </w:tcBorders>
            <w:shd w:val="clear" w:color="auto" w:fill="auto"/>
            <w:vAlign w:val="center"/>
            <w:hideMark/>
          </w:tcPr>
          <w:p w:rsidR="00D84124" w:rsidRPr="00232BE3" w:rsidRDefault="00D84124" w:rsidP="00DE118B">
            <w:pPr>
              <w:jc w:val="center"/>
              <w:rPr>
                <w:rFonts w:eastAsia="Times New Roman" w:cs="Arial"/>
              </w:rPr>
            </w:pPr>
            <w:r w:rsidRPr="00232BE3">
              <w:rPr>
                <w:rFonts w:eastAsia="Times New Roman" w:cs="Arial"/>
              </w:rPr>
              <w:t>LAGs within EFS</w:t>
            </w:r>
          </w:p>
        </w:tc>
      </w:tr>
      <w:tr w:rsidR="00D84124" w:rsidRPr="00232BE3" w:rsidTr="00DE118B">
        <w:trPr>
          <w:trHeight w:val="31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T01</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35.0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13.0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36.2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T02</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41.5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14.3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43.0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T03</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33.8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14.4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35.0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T04</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39.7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14.4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41.1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T05</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39.4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14.9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40.8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T06</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46.0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47.6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T07</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37.2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14.4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38.5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T08</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36.2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37.5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T09</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38.4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13.6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39.8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T10</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42.1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14.9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43.6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T11</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43.5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45.0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T12</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41.2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42.7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T13</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43.1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16.2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44.6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T14</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44.3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45.9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T15</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46.4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16.7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T16</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44.0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45.6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T17</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45.2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14.9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46.8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T18</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43.3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17.2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44.8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T19</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43.8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17.0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45.4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T20</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43.4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44.9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T21</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46.4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16.4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T22</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15.9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50.2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T23</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45.4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17.2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47.0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T24</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18.3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50.5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T25</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16.7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49.8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T26</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47.4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16.8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49.1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T27</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16.6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49.7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T28</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47.2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16.6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T29</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48.5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17.0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50.2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T30</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56.0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21.4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58.0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T31</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63.0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21.4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65.2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T32</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69.0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21.3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71.5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T33</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80.8</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5</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9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T34</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75.0</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Substantial periosteal surface missing</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77.7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9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T35</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75.0</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Substantial periosteal surface missing</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77.7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w:t>
            </w: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T36</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30.3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91.1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5</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T37</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83.0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33.2*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85.9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T38</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90.0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33.5*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93.2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T39</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83.0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31.6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85.9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T40</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87.5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32.9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90.6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w:t>
            </w:r>
          </w:p>
        </w:tc>
      </w:tr>
      <w:tr w:rsidR="00D84124" w:rsidRPr="00232BE3" w:rsidTr="00DE118B">
        <w:trPr>
          <w:trHeight w:val="9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T41</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95.0</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Substantial periosteal surface missing</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98.4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T42</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90.5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34.4*</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93.7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4</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T43</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88.0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32.9</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91.1</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T44</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87.5</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38.2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90.6</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8</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w:t>
            </w:r>
          </w:p>
        </w:tc>
      </w:tr>
      <w:tr w:rsidR="00D84124" w:rsidRPr="00232BE3" w:rsidTr="00DE118B">
        <w:trPr>
          <w:trHeight w:val="6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T45</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99.7</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35.3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103.2</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Poor internal preservation</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w:t>
            </w: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T46</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93.0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33.2</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96.3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10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w:t>
            </w:r>
          </w:p>
        </w:tc>
      </w:tr>
      <w:tr w:rsidR="00D84124" w:rsidRPr="00232BE3" w:rsidTr="00DE118B">
        <w:trPr>
          <w:trHeight w:val="6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T47</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32.0</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Circumference not measured</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600"/>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T48</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69.5</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Circumference not measured</w:t>
            </w:r>
          </w:p>
        </w:tc>
        <w:tc>
          <w:tcPr>
            <w:tcW w:w="2049" w:type="dxa"/>
            <w:tcBorders>
              <w:top w:val="nil"/>
              <w:left w:val="nil"/>
              <w:bottom w:val="nil"/>
              <w:right w:val="nil"/>
            </w:tcBorders>
            <w:shd w:val="clear" w:color="auto" w:fill="auto"/>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72.0</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45"/>
        </w:trPr>
        <w:tc>
          <w:tcPr>
            <w:tcW w:w="133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T49</w:t>
            </w:r>
            <w:r w:rsidRPr="00232BE3">
              <w:rPr>
                <w:rFonts w:eastAsia="Times New Roman" w:cs="Arial"/>
                <w:color w:val="000000"/>
                <w:vertAlign w:val="superscript"/>
              </w:rPr>
              <w:t>◊</w:t>
            </w:r>
          </w:p>
        </w:tc>
        <w:tc>
          <w:tcPr>
            <w:tcW w:w="1595"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Incomplete</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23.3</w:t>
            </w: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c>
          <w:tcPr>
            <w:tcW w:w="204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0</w:t>
            </w:r>
          </w:p>
        </w:tc>
        <w:tc>
          <w:tcPr>
            <w:tcW w:w="1319" w:type="dxa"/>
            <w:tcBorders>
              <w:top w:val="nil"/>
              <w:left w:val="nil"/>
              <w:bottom w:val="nil"/>
              <w:right w:val="nil"/>
            </w:tcBorders>
            <w:shd w:val="clear" w:color="auto" w:fill="auto"/>
            <w:noWrap/>
            <w:vAlign w:val="center"/>
            <w:hideMark/>
          </w:tcPr>
          <w:p w:rsidR="00D84124" w:rsidRPr="00232BE3" w:rsidRDefault="00D84124" w:rsidP="00DE118B">
            <w:pPr>
              <w:jc w:val="center"/>
              <w:rPr>
                <w:rFonts w:eastAsia="Times New Roman" w:cs="Arial"/>
                <w:color w:val="000000"/>
              </w:rPr>
            </w:pPr>
          </w:p>
        </w:tc>
      </w:tr>
      <w:tr w:rsidR="00D84124" w:rsidRPr="00232BE3" w:rsidTr="00DE118B">
        <w:trPr>
          <w:trHeight w:val="360"/>
        </w:trPr>
        <w:tc>
          <w:tcPr>
            <w:tcW w:w="1339" w:type="dxa"/>
            <w:tcBorders>
              <w:top w:val="nil"/>
              <w:left w:val="nil"/>
              <w:bottom w:val="double" w:sz="6" w:space="0" w:color="auto"/>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T50</w:t>
            </w:r>
            <w:r w:rsidRPr="00232BE3">
              <w:rPr>
                <w:rFonts w:eastAsia="Times New Roman" w:cs="Arial"/>
                <w:color w:val="000000"/>
                <w:vertAlign w:val="superscript"/>
              </w:rPr>
              <w:t>□◊</w:t>
            </w:r>
          </w:p>
        </w:tc>
        <w:tc>
          <w:tcPr>
            <w:tcW w:w="1595" w:type="dxa"/>
            <w:tcBorders>
              <w:top w:val="nil"/>
              <w:left w:val="nil"/>
              <w:bottom w:val="double" w:sz="6" w:space="0" w:color="auto"/>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Incomplete</w:t>
            </w:r>
          </w:p>
        </w:tc>
        <w:tc>
          <w:tcPr>
            <w:tcW w:w="2049" w:type="dxa"/>
            <w:tcBorders>
              <w:top w:val="nil"/>
              <w:left w:val="nil"/>
              <w:bottom w:val="double" w:sz="6" w:space="0" w:color="auto"/>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23.4</w:t>
            </w:r>
          </w:p>
        </w:tc>
        <w:tc>
          <w:tcPr>
            <w:tcW w:w="2049" w:type="dxa"/>
            <w:tcBorders>
              <w:top w:val="nil"/>
              <w:left w:val="nil"/>
              <w:bottom w:val="double" w:sz="6" w:space="0" w:color="auto"/>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 </w:t>
            </w:r>
          </w:p>
        </w:tc>
        <w:tc>
          <w:tcPr>
            <w:tcW w:w="2049" w:type="dxa"/>
            <w:tcBorders>
              <w:top w:val="nil"/>
              <w:left w:val="nil"/>
              <w:bottom w:val="double" w:sz="6" w:space="0" w:color="auto"/>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2</w:t>
            </w:r>
          </w:p>
        </w:tc>
        <w:tc>
          <w:tcPr>
            <w:tcW w:w="1319" w:type="dxa"/>
            <w:tcBorders>
              <w:top w:val="nil"/>
              <w:left w:val="nil"/>
              <w:bottom w:val="double" w:sz="6" w:space="0" w:color="auto"/>
              <w:right w:val="nil"/>
            </w:tcBorders>
            <w:shd w:val="clear" w:color="auto" w:fill="auto"/>
            <w:noWrap/>
            <w:vAlign w:val="center"/>
            <w:hideMark/>
          </w:tcPr>
          <w:p w:rsidR="00D84124" w:rsidRPr="00232BE3" w:rsidRDefault="00D84124" w:rsidP="00DE118B">
            <w:pPr>
              <w:jc w:val="center"/>
              <w:rPr>
                <w:rFonts w:eastAsia="Times New Roman" w:cs="Arial"/>
                <w:color w:val="000000"/>
              </w:rPr>
            </w:pPr>
            <w:r w:rsidRPr="00232BE3">
              <w:rPr>
                <w:rFonts w:eastAsia="Times New Roman" w:cs="Arial"/>
                <w:color w:val="000000"/>
              </w:rPr>
              <w:t> </w:t>
            </w:r>
          </w:p>
        </w:tc>
      </w:tr>
    </w:tbl>
    <w:p w:rsidR="00D84124" w:rsidRDefault="00D84124" w:rsidP="00D84124"/>
    <w:p w:rsidR="00B0552F" w:rsidRDefault="00B0552F">
      <w:pPr>
        <w:sectPr w:rsidR="00B0552F">
          <w:pgSz w:w="12240" w:h="15840"/>
          <w:pgMar w:top="1440" w:right="1440" w:bottom="1440" w:left="1440" w:header="720" w:footer="720" w:gutter="0"/>
          <w:cols w:space="720"/>
          <w:docGrid w:linePitch="360"/>
        </w:sectPr>
      </w:pPr>
    </w:p>
    <w:tbl>
      <w:tblPr>
        <w:tblW w:w="13980" w:type="dxa"/>
        <w:tblLook w:val="04A0" w:firstRow="1" w:lastRow="0" w:firstColumn="1" w:lastColumn="0" w:noHBand="0" w:noVBand="1"/>
      </w:tblPr>
      <w:tblGrid>
        <w:gridCol w:w="1300"/>
        <w:gridCol w:w="1820"/>
        <w:gridCol w:w="2380"/>
        <w:gridCol w:w="2280"/>
        <w:gridCol w:w="2280"/>
        <w:gridCol w:w="2280"/>
        <w:gridCol w:w="1640"/>
      </w:tblGrid>
      <w:tr w:rsidR="00B0552F" w:rsidRPr="00255AEE" w:rsidTr="00DE118B">
        <w:trPr>
          <w:trHeight w:val="1350"/>
        </w:trPr>
        <w:tc>
          <w:tcPr>
            <w:tcW w:w="13980" w:type="dxa"/>
            <w:gridSpan w:val="7"/>
            <w:tcBorders>
              <w:top w:val="nil"/>
              <w:left w:val="nil"/>
              <w:bottom w:val="nil"/>
              <w:right w:val="nil"/>
            </w:tcBorders>
            <w:shd w:val="clear" w:color="auto" w:fill="auto"/>
            <w:hideMark/>
          </w:tcPr>
          <w:p w:rsidR="00B0552F" w:rsidRPr="00255AEE" w:rsidRDefault="00B0552F" w:rsidP="00DE118B">
            <w:pPr>
              <w:rPr>
                <w:rFonts w:ascii="Times New Roman" w:eastAsia="Times New Roman" w:hAnsi="Times New Roman"/>
                <w:color w:val="000000"/>
                <w:sz w:val="24"/>
                <w:szCs w:val="24"/>
              </w:rPr>
            </w:pPr>
            <w:r w:rsidRPr="00255AEE">
              <w:rPr>
                <w:rFonts w:ascii="Times New Roman" w:eastAsia="Times New Roman" w:hAnsi="Times New Roman"/>
                <w:color w:val="000000"/>
                <w:sz w:val="24"/>
                <w:szCs w:val="24"/>
              </w:rPr>
              <w:t xml:space="preserve">Supplementary Table 2. Annual </w:t>
            </w:r>
            <w:r w:rsidRPr="00255AEE">
              <w:rPr>
                <w:rFonts w:ascii="Times New Roman" w:eastAsia="Times New Roman" w:hAnsi="Times New Roman"/>
                <w:i/>
                <w:iCs/>
                <w:color w:val="000000"/>
                <w:sz w:val="24"/>
                <w:szCs w:val="24"/>
              </w:rPr>
              <w:t>Maiasaura</w:t>
            </w:r>
            <w:r w:rsidRPr="00255AEE">
              <w:rPr>
                <w:rFonts w:ascii="Times New Roman" w:eastAsia="Times New Roman" w:hAnsi="Times New Roman"/>
                <w:color w:val="000000"/>
                <w:sz w:val="24"/>
                <w:szCs w:val="24"/>
              </w:rPr>
              <w:t xml:space="preserve"> LAG circumference measurements, total area measurements, calculated tibia length, calculated femur length, and body mass estimates (obtained using the developmental mass extrapolation method [DME; Erickson and </w:t>
            </w:r>
            <w:proofErr w:type="spellStart"/>
            <w:r w:rsidRPr="00255AEE">
              <w:rPr>
                <w:rFonts w:ascii="Times New Roman" w:eastAsia="Times New Roman" w:hAnsi="Times New Roman"/>
                <w:color w:val="000000"/>
                <w:sz w:val="24"/>
                <w:szCs w:val="24"/>
              </w:rPr>
              <w:t>Tumanova</w:t>
            </w:r>
            <w:proofErr w:type="spellEnd"/>
            <w:r w:rsidRPr="00255AEE">
              <w:rPr>
                <w:rFonts w:ascii="Times New Roman" w:eastAsia="Times New Roman" w:hAnsi="Times New Roman"/>
                <w:color w:val="000000"/>
                <w:sz w:val="24"/>
                <w:szCs w:val="24"/>
              </w:rPr>
              <w:t xml:space="preserve">, 2000*]) for </w:t>
            </w:r>
            <w:r w:rsidRPr="00255AEE">
              <w:rPr>
                <w:rFonts w:ascii="Times New Roman" w:eastAsia="Times New Roman" w:hAnsi="Times New Roman"/>
                <w:i/>
                <w:iCs/>
                <w:color w:val="000000"/>
                <w:sz w:val="24"/>
                <w:szCs w:val="24"/>
              </w:rPr>
              <w:t>Maiasaura</w:t>
            </w:r>
            <w:r w:rsidRPr="00255AEE">
              <w:rPr>
                <w:rFonts w:ascii="Times New Roman" w:eastAsia="Times New Roman" w:hAnsi="Times New Roman"/>
                <w:color w:val="000000"/>
                <w:sz w:val="24"/>
                <w:szCs w:val="24"/>
              </w:rPr>
              <w:t xml:space="preserve"> tibiae possessing at least one LAG.  </w:t>
            </w:r>
            <w:proofErr w:type="spellStart"/>
            <w:r w:rsidRPr="00255AEE">
              <w:rPr>
                <w:rFonts w:ascii="Times New Roman" w:eastAsia="Times New Roman" w:hAnsi="Times New Roman"/>
                <w:color w:val="000000"/>
                <w:sz w:val="24"/>
                <w:szCs w:val="24"/>
              </w:rPr>
              <w:t>Perinate</w:t>
            </w:r>
            <w:proofErr w:type="spellEnd"/>
            <w:r w:rsidRPr="00255AEE">
              <w:rPr>
                <w:rFonts w:ascii="Times New Roman" w:eastAsia="Times New Roman" w:hAnsi="Times New Roman"/>
                <w:color w:val="000000"/>
                <w:sz w:val="24"/>
                <w:szCs w:val="24"/>
              </w:rPr>
              <w:t xml:space="preserve"> tibia circumference and body mass reported for each specimen was obtained from </w:t>
            </w:r>
            <w:r w:rsidRPr="00255AEE">
              <w:rPr>
                <w:rFonts w:ascii="Times New Roman" w:eastAsia="Times New Roman" w:hAnsi="Times New Roman"/>
                <w:i/>
                <w:iCs/>
                <w:color w:val="000000"/>
                <w:sz w:val="24"/>
                <w:szCs w:val="24"/>
              </w:rPr>
              <w:t>Maiasaura</w:t>
            </w:r>
            <w:r w:rsidRPr="00255AEE">
              <w:rPr>
                <w:rFonts w:ascii="Times New Roman" w:eastAsia="Times New Roman" w:hAnsi="Times New Roman"/>
                <w:color w:val="000000"/>
                <w:sz w:val="24"/>
                <w:szCs w:val="24"/>
              </w:rPr>
              <w:t xml:space="preserve"> tibia </w:t>
            </w:r>
            <w:r w:rsidRPr="00255AEE">
              <w:rPr>
                <w:rFonts w:ascii="Times New Roman" w:eastAsia="Times New Roman" w:hAnsi="Times New Roman"/>
                <w:sz w:val="24"/>
                <w:szCs w:val="24"/>
              </w:rPr>
              <w:t>YPM-PU 22432.</w:t>
            </w:r>
          </w:p>
        </w:tc>
      </w:tr>
      <w:tr w:rsidR="00B0552F" w:rsidRPr="00255AEE" w:rsidTr="00DE118B">
        <w:trPr>
          <w:trHeight w:val="615"/>
        </w:trPr>
        <w:tc>
          <w:tcPr>
            <w:tcW w:w="130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i/>
                <w:iCs/>
              </w:rPr>
              <w:t>Maiasaura</w:t>
            </w:r>
            <w:r w:rsidRPr="00255AEE">
              <w:rPr>
                <w:rFonts w:eastAsia="Times New Roman" w:cs="Arial"/>
              </w:rPr>
              <w:t xml:space="preserve"> Tibia Code</w:t>
            </w:r>
          </w:p>
        </w:tc>
        <w:tc>
          <w:tcPr>
            <w:tcW w:w="182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Location Within The Cortex</w:t>
            </w:r>
          </w:p>
        </w:tc>
        <w:tc>
          <w:tcPr>
            <w:tcW w:w="23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Total Area (cm</w:t>
            </w:r>
            <w:r w:rsidRPr="00255AEE">
              <w:rPr>
                <w:rFonts w:eastAsia="Times New Roman" w:cs="Arial"/>
                <w:vertAlign w:val="superscript"/>
              </w:rPr>
              <w:t>2</w:t>
            </w:r>
            <w:r w:rsidRPr="00255AEE">
              <w:rPr>
                <w:rFonts w:eastAsia="Times New Roman" w:cs="Arial"/>
              </w:rPr>
              <w:t>)</w:t>
            </w:r>
          </w:p>
        </w:tc>
        <w:tc>
          <w:tcPr>
            <w:tcW w:w="22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Circumference (cm)</w:t>
            </w:r>
          </w:p>
        </w:tc>
        <w:tc>
          <w:tcPr>
            <w:tcW w:w="22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Calculated Tibia Length (cm)</w:t>
            </w:r>
          </w:p>
        </w:tc>
        <w:tc>
          <w:tcPr>
            <w:tcW w:w="22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Calculated Femur Length (cm)</w:t>
            </w:r>
          </w:p>
        </w:tc>
        <w:tc>
          <w:tcPr>
            <w:tcW w:w="164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Mass Estimate Using DME* (kg)</w:t>
            </w:r>
          </w:p>
        </w:tc>
      </w:tr>
      <w:tr w:rsidR="00B0552F" w:rsidRPr="00255AEE" w:rsidTr="00DE118B">
        <w:trPr>
          <w:trHeight w:val="315"/>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T30</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7.8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15.9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15.0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41.5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43.0</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286</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26.4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19.4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53.4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55.3</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610</w:t>
            </w:r>
          </w:p>
        </w:tc>
      </w:tr>
      <w:tr w:rsidR="00B0552F" w:rsidRPr="00255AEE" w:rsidTr="00DE118B">
        <w:trPr>
          <w:trHeight w:val="300"/>
        </w:trPr>
        <w:tc>
          <w:tcPr>
            <w:tcW w:w="130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single" w:sz="4" w:space="0" w:color="auto"/>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32.0</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21.4</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56.0</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58.0</w:t>
            </w:r>
          </w:p>
        </w:tc>
        <w:tc>
          <w:tcPr>
            <w:tcW w:w="164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704</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T31</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11.2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13.6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14.2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39.2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40.6</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241</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23.9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18.7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51.5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53.3</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548</w:t>
            </w:r>
          </w:p>
        </w:tc>
      </w:tr>
      <w:tr w:rsidR="00B0552F" w:rsidRPr="00255AEE" w:rsidTr="00DE118B">
        <w:trPr>
          <w:trHeight w:val="300"/>
        </w:trPr>
        <w:tc>
          <w:tcPr>
            <w:tcW w:w="130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single" w:sz="4" w:space="0" w:color="auto"/>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31.7</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21.4</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63.0</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65.2</w:t>
            </w:r>
          </w:p>
        </w:tc>
        <w:tc>
          <w:tcPr>
            <w:tcW w:w="164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1003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T32</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13.2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15.9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43.8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45.3</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337</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22.2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19.4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53.3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55.1</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606</w:t>
            </w:r>
          </w:p>
        </w:tc>
      </w:tr>
      <w:tr w:rsidR="00B0552F" w:rsidRPr="00255AEE" w:rsidTr="00DE118B">
        <w:trPr>
          <w:trHeight w:val="300"/>
        </w:trPr>
        <w:tc>
          <w:tcPr>
            <w:tcW w:w="130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single" w:sz="4" w:space="0" w:color="auto"/>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29.1</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21.3</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69.0</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71.5</w:t>
            </w:r>
          </w:p>
        </w:tc>
        <w:tc>
          <w:tcPr>
            <w:tcW w:w="164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1318</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T33</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21.8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17.8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48.9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50.7</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469</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34.3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22.2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60.9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63.0</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904</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3</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44.4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25.1</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68.9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71.4</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1313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4</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47.0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70.9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73.4</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1429</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5</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49.8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26.6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72.9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75.4</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1551</w:t>
            </w:r>
          </w:p>
        </w:tc>
      </w:tr>
      <w:tr w:rsidR="00B0552F" w:rsidRPr="00255AEE" w:rsidTr="00DE118B">
        <w:trPr>
          <w:trHeight w:val="300"/>
        </w:trPr>
        <w:tc>
          <w:tcPr>
            <w:tcW w:w="130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single" w:sz="4" w:space="0" w:color="auto"/>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54.5</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27.9</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78.0</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80.8</w:t>
            </w:r>
          </w:p>
        </w:tc>
        <w:tc>
          <w:tcPr>
            <w:tcW w:w="164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1903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T34</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10.6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13.0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23.6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18.6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51.2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53.0</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537</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36.3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22.8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62.6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64.8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984</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3</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47.4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26.0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71.4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73.9</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1459</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4</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51.2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27.0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74.0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76.6</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1625</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5</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6</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7</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 </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 </w:t>
            </w:r>
          </w:p>
        </w:tc>
        <w:tc>
          <w:tcPr>
            <w:tcW w:w="164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T36</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11.6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18.5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17.0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46.9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48.5</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413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35.7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23.6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64.7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67.0</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1085</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3</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47.7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26.6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72.9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75.4</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1551</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4</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56.5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29.0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79.3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82.1</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2001</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5</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single" w:sz="4" w:space="0" w:color="auto"/>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60.5</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30.3</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88.0</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91.1</w:t>
            </w:r>
          </w:p>
        </w:tc>
        <w:tc>
          <w:tcPr>
            <w:tcW w:w="164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2733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T43</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10.9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19.9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17.2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47.4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49.1</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426</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37.9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23.5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64.4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66.7</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1073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3</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50.1</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26.7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73.3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75.9</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1577</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4</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59.0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29.1</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79.6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82.4</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2023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5</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66.9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30.8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84.3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87.3</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2405</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6</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70.7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31.7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86.6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89.7</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2606</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7</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74.1</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32.4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88.7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91.9</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2801</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8</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9</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single" w:sz="4" w:space="0" w:color="auto"/>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76.3</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32.9</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88.0</w:t>
            </w:r>
          </w:p>
        </w:tc>
        <w:tc>
          <w:tcPr>
            <w:tcW w:w="228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91.1</w:t>
            </w:r>
          </w:p>
        </w:tc>
        <w:tc>
          <w:tcPr>
            <w:tcW w:w="1640" w:type="dxa"/>
            <w:tcBorders>
              <w:top w:val="nil"/>
              <w:left w:val="nil"/>
              <w:bottom w:val="single" w:sz="4"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2733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T46</w:t>
            </w: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17.4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16.8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1</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19.1</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16.5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45.6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47.2</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380</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2</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39.9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24.0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65.7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68.0</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1138</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3</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48.6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26.4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72.4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74.9</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1520</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4</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53.5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27.7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78.6</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1753</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5</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60.4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29.4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80.6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83.4</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2097</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6</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65.4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30.6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83.8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86.7</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2357</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7</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71.4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32.0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87.4</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90.5</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2680</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8</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74.2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32.6</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89.2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92.4</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2848</w:t>
            </w:r>
          </w:p>
        </w:tc>
      </w:tr>
      <w:tr w:rsidR="00B0552F" w:rsidRPr="00255AEE" w:rsidTr="00DE118B">
        <w:trPr>
          <w:trHeight w:val="6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LAG 9</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 start of EFS</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Incomplete; start of EFS</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ascii="Times New Roman" w:eastAsia="Times New Roman" w:hAnsi="Times New Roman"/>
                <w:sz w:val="20"/>
                <w:szCs w:val="20"/>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nil"/>
              <w:right w:val="nil"/>
            </w:tcBorders>
            <w:shd w:val="clear" w:color="auto" w:fill="auto"/>
            <w:noWrap/>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77.0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33.2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93.0</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96.3</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3226</w:t>
            </w:r>
          </w:p>
        </w:tc>
      </w:tr>
      <w:tr w:rsidR="00B0552F" w:rsidRPr="00255AEE" w:rsidTr="00DE118B">
        <w:trPr>
          <w:trHeight w:val="300"/>
        </w:trPr>
        <w:tc>
          <w:tcPr>
            <w:tcW w:w="1300" w:type="dxa"/>
            <w:tcBorders>
              <w:top w:val="single" w:sz="4" w:space="0" w:color="auto"/>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T50</w:t>
            </w:r>
          </w:p>
        </w:tc>
        <w:tc>
          <w:tcPr>
            <w:tcW w:w="1820" w:type="dxa"/>
            <w:tcBorders>
              <w:top w:val="single" w:sz="4" w:space="0" w:color="auto"/>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Medullary Cavity</w:t>
            </w:r>
          </w:p>
        </w:tc>
        <w:tc>
          <w:tcPr>
            <w:tcW w:w="2380" w:type="dxa"/>
            <w:tcBorders>
              <w:top w:val="single" w:sz="4" w:space="0" w:color="auto"/>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5.7</w:t>
            </w:r>
          </w:p>
        </w:tc>
        <w:tc>
          <w:tcPr>
            <w:tcW w:w="2280" w:type="dxa"/>
            <w:tcBorders>
              <w:top w:val="single" w:sz="4" w:space="0" w:color="auto"/>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9.1</w:t>
            </w:r>
          </w:p>
        </w:tc>
        <w:tc>
          <w:tcPr>
            <w:tcW w:w="2280" w:type="dxa"/>
            <w:tcBorders>
              <w:top w:val="single" w:sz="4" w:space="0" w:color="auto"/>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 </w:t>
            </w:r>
          </w:p>
        </w:tc>
        <w:tc>
          <w:tcPr>
            <w:tcW w:w="2280" w:type="dxa"/>
            <w:tcBorders>
              <w:top w:val="single" w:sz="4" w:space="0" w:color="auto"/>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 </w:t>
            </w:r>
          </w:p>
        </w:tc>
        <w:tc>
          <w:tcPr>
            <w:tcW w:w="1640" w:type="dxa"/>
            <w:tcBorders>
              <w:top w:val="single" w:sz="4" w:space="0" w:color="auto"/>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roofErr w:type="spellStart"/>
            <w:r w:rsidRPr="00255AEE">
              <w:rPr>
                <w:rFonts w:eastAsia="Times New Roman" w:cs="Arial"/>
              </w:rPr>
              <w:t>Perinate</w:t>
            </w:r>
            <w:proofErr w:type="spellEnd"/>
            <w:r w:rsidRPr="00255AEE">
              <w:rPr>
                <w:rFonts w:eastAsia="Times New Roman" w:cs="Arial"/>
              </w:rPr>
              <w:t xml:space="preserve"> Tibia</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7.8</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20.2</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16.9</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46.7</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48.3</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408</w:t>
            </w:r>
          </w:p>
        </w:tc>
      </w:tr>
      <w:tr w:rsidR="00B0552F" w:rsidRPr="00255AEE" w:rsidTr="00DE118B">
        <w:trPr>
          <w:trHeight w:val="300"/>
        </w:trPr>
        <w:tc>
          <w:tcPr>
            <w:tcW w:w="130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2</w:t>
            </w:r>
          </w:p>
        </w:tc>
        <w:tc>
          <w:tcPr>
            <w:tcW w:w="23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30.5</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20.8</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57.3</w:t>
            </w:r>
          </w:p>
        </w:tc>
        <w:tc>
          <w:tcPr>
            <w:tcW w:w="228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59.3</w:t>
            </w:r>
          </w:p>
        </w:tc>
        <w:tc>
          <w:tcPr>
            <w:tcW w:w="1640" w:type="dxa"/>
            <w:tcBorders>
              <w:top w:val="nil"/>
              <w:left w:val="nil"/>
              <w:bottom w:val="nil"/>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754</w:t>
            </w:r>
          </w:p>
        </w:tc>
      </w:tr>
      <w:tr w:rsidR="00B0552F" w:rsidRPr="00255AEE" w:rsidTr="00DE118B">
        <w:trPr>
          <w:trHeight w:val="315"/>
        </w:trPr>
        <w:tc>
          <w:tcPr>
            <w:tcW w:w="130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 </w:t>
            </w:r>
          </w:p>
        </w:tc>
        <w:tc>
          <w:tcPr>
            <w:tcW w:w="182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Periosteal Surface</w:t>
            </w:r>
          </w:p>
        </w:tc>
        <w:tc>
          <w:tcPr>
            <w:tcW w:w="23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38.2</w:t>
            </w:r>
          </w:p>
        </w:tc>
        <w:tc>
          <w:tcPr>
            <w:tcW w:w="22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23.4</w:t>
            </w:r>
          </w:p>
        </w:tc>
        <w:tc>
          <w:tcPr>
            <w:tcW w:w="22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64.1</w:t>
            </w:r>
          </w:p>
        </w:tc>
        <w:tc>
          <w:tcPr>
            <w:tcW w:w="228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color w:val="000000"/>
              </w:rPr>
            </w:pPr>
            <w:r w:rsidRPr="00255AEE">
              <w:rPr>
                <w:rFonts w:eastAsia="Times New Roman" w:cs="Arial"/>
                <w:color w:val="000000"/>
              </w:rPr>
              <w:t>66.4</w:t>
            </w:r>
          </w:p>
        </w:tc>
        <w:tc>
          <w:tcPr>
            <w:tcW w:w="1640" w:type="dxa"/>
            <w:tcBorders>
              <w:top w:val="nil"/>
              <w:left w:val="nil"/>
              <w:bottom w:val="double" w:sz="6" w:space="0" w:color="auto"/>
              <w:right w:val="nil"/>
            </w:tcBorders>
            <w:shd w:val="clear" w:color="auto" w:fill="auto"/>
            <w:vAlign w:val="center"/>
            <w:hideMark/>
          </w:tcPr>
          <w:p w:rsidR="00B0552F" w:rsidRPr="00255AEE" w:rsidRDefault="00B0552F" w:rsidP="00DE118B">
            <w:pPr>
              <w:jc w:val="center"/>
              <w:rPr>
                <w:rFonts w:eastAsia="Times New Roman" w:cs="Arial"/>
              </w:rPr>
            </w:pPr>
            <w:r w:rsidRPr="00255AEE">
              <w:rPr>
                <w:rFonts w:eastAsia="Times New Roman" w:cs="Arial"/>
              </w:rPr>
              <w:t>1057</w:t>
            </w:r>
          </w:p>
        </w:tc>
      </w:tr>
      <w:tr w:rsidR="00B0552F" w:rsidRPr="00255AEE" w:rsidTr="00DE118B">
        <w:trPr>
          <w:trHeight w:val="270"/>
        </w:trPr>
        <w:tc>
          <w:tcPr>
            <w:tcW w:w="1300" w:type="dxa"/>
            <w:tcBorders>
              <w:top w:val="nil"/>
              <w:left w:val="nil"/>
              <w:bottom w:val="nil"/>
              <w:right w:val="nil"/>
            </w:tcBorders>
            <w:shd w:val="clear" w:color="auto" w:fill="auto"/>
            <w:noWrap/>
            <w:vAlign w:val="bottom"/>
            <w:hideMark/>
          </w:tcPr>
          <w:p w:rsidR="00B0552F" w:rsidRPr="00255AEE" w:rsidRDefault="00B0552F" w:rsidP="00DE118B">
            <w:pPr>
              <w:jc w:val="center"/>
              <w:rPr>
                <w:rFonts w:eastAsia="Times New Roman" w:cs="Arial"/>
              </w:rPr>
            </w:pPr>
          </w:p>
        </w:tc>
        <w:tc>
          <w:tcPr>
            <w:tcW w:w="182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3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2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2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2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164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r>
      <w:tr w:rsidR="00B0552F" w:rsidRPr="00255AEE" w:rsidTr="00DE118B">
        <w:trPr>
          <w:trHeight w:val="255"/>
        </w:trPr>
        <w:tc>
          <w:tcPr>
            <w:tcW w:w="13980" w:type="dxa"/>
            <w:gridSpan w:val="7"/>
            <w:vMerge w:val="restart"/>
            <w:tcBorders>
              <w:top w:val="nil"/>
              <w:left w:val="nil"/>
              <w:bottom w:val="nil"/>
              <w:right w:val="nil"/>
            </w:tcBorders>
            <w:shd w:val="clear" w:color="auto" w:fill="auto"/>
            <w:hideMark/>
          </w:tcPr>
          <w:p w:rsidR="00B0552F" w:rsidRPr="00255AEE" w:rsidRDefault="00B0552F" w:rsidP="00DE118B">
            <w:pPr>
              <w:rPr>
                <w:rFonts w:ascii="Times New Roman" w:eastAsia="Times New Roman" w:hAnsi="Times New Roman"/>
                <w:sz w:val="20"/>
                <w:szCs w:val="20"/>
              </w:rPr>
            </w:pPr>
            <w:bookmarkStart w:id="0" w:name="RANGE!A74"/>
            <w:r w:rsidRPr="00255AEE">
              <w:rPr>
                <w:rFonts w:ascii="Times New Roman" w:eastAsia="Times New Roman" w:hAnsi="Times New Roman"/>
                <w:sz w:val="20"/>
                <w:szCs w:val="20"/>
              </w:rPr>
              <w:t xml:space="preserve">*Erickson, G. M., and T. A. </w:t>
            </w:r>
            <w:proofErr w:type="spellStart"/>
            <w:r w:rsidRPr="00255AEE">
              <w:rPr>
                <w:rFonts w:ascii="Times New Roman" w:eastAsia="Times New Roman" w:hAnsi="Times New Roman"/>
                <w:sz w:val="20"/>
                <w:szCs w:val="20"/>
              </w:rPr>
              <w:t>Tumanova</w:t>
            </w:r>
            <w:proofErr w:type="spellEnd"/>
            <w:r w:rsidRPr="00255AEE">
              <w:rPr>
                <w:rFonts w:ascii="Times New Roman" w:eastAsia="Times New Roman" w:hAnsi="Times New Roman"/>
                <w:sz w:val="20"/>
                <w:szCs w:val="20"/>
              </w:rPr>
              <w:t xml:space="preserve">. 2000. Growth curve of </w:t>
            </w:r>
            <w:proofErr w:type="spellStart"/>
            <w:r w:rsidRPr="00255AEE">
              <w:rPr>
                <w:rFonts w:ascii="Times New Roman" w:eastAsia="Times New Roman" w:hAnsi="Times New Roman"/>
                <w:i/>
                <w:iCs/>
                <w:sz w:val="20"/>
                <w:szCs w:val="20"/>
              </w:rPr>
              <w:t>Psittacosaurus</w:t>
            </w:r>
            <w:proofErr w:type="spellEnd"/>
            <w:r w:rsidRPr="00255AEE">
              <w:rPr>
                <w:rFonts w:ascii="Times New Roman" w:eastAsia="Times New Roman" w:hAnsi="Times New Roman"/>
                <w:i/>
                <w:iCs/>
                <w:sz w:val="20"/>
                <w:szCs w:val="20"/>
              </w:rPr>
              <w:t xml:space="preserve"> </w:t>
            </w:r>
            <w:proofErr w:type="spellStart"/>
            <w:r w:rsidRPr="00255AEE">
              <w:rPr>
                <w:rFonts w:ascii="Times New Roman" w:eastAsia="Times New Roman" w:hAnsi="Times New Roman"/>
                <w:i/>
                <w:iCs/>
                <w:sz w:val="20"/>
                <w:szCs w:val="20"/>
              </w:rPr>
              <w:t>mongoliensis</w:t>
            </w:r>
            <w:proofErr w:type="spellEnd"/>
            <w:r w:rsidRPr="00255AEE">
              <w:rPr>
                <w:rFonts w:ascii="Times New Roman" w:eastAsia="Times New Roman" w:hAnsi="Times New Roman"/>
                <w:sz w:val="20"/>
                <w:szCs w:val="20"/>
              </w:rPr>
              <w:t xml:space="preserve"> Osborn (</w:t>
            </w:r>
            <w:proofErr w:type="spellStart"/>
            <w:r w:rsidRPr="00255AEE">
              <w:rPr>
                <w:rFonts w:ascii="Times New Roman" w:eastAsia="Times New Roman" w:hAnsi="Times New Roman"/>
                <w:sz w:val="20"/>
                <w:szCs w:val="20"/>
              </w:rPr>
              <w:t>Ceratopsia</w:t>
            </w:r>
            <w:proofErr w:type="spellEnd"/>
            <w:r w:rsidRPr="00255AEE">
              <w:rPr>
                <w:rFonts w:ascii="Times New Roman" w:eastAsia="Times New Roman" w:hAnsi="Times New Roman"/>
                <w:sz w:val="20"/>
                <w:szCs w:val="20"/>
              </w:rPr>
              <w:t xml:space="preserve">: </w:t>
            </w:r>
            <w:proofErr w:type="spellStart"/>
            <w:r w:rsidRPr="00255AEE">
              <w:rPr>
                <w:rFonts w:ascii="Times New Roman" w:eastAsia="Times New Roman" w:hAnsi="Times New Roman"/>
                <w:sz w:val="20"/>
                <w:szCs w:val="20"/>
              </w:rPr>
              <w:t>Psittacosauridae</w:t>
            </w:r>
            <w:proofErr w:type="spellEnd"/>
            <w:r w:rsidRPr="00255AEE">
              <w:rPr>
                <w:rFonts w:ascii="Times New Roman" w:eastAsia="Times New Roman" w:hAnsi="Times New Roman"/>
                <w:sz w:val="20"/>
                <w:szCs w:val="20"/>
              </w:rPr>
              <w:t xml:space="preserve">) inferred from long bone histology. Zoological Journal of the </w:t>
            </w:r>
            <w:proofErr w:type="spellStart"/>
            <w:r w:rsidRPr="00255AEE">
              <w:rPr>
                <w:rFonts w:ascii="Times New Roman" w:eastAsia="Times New Roman" w:hAnsi="Times New Roman"/>
                <w:sz w:val="20"/>
                <w:szCs w:val="20"/>
              </w:rPr>
              <w:t>Linnean</w:t>
            </w:r>
            <w:proofErr w:type="spellEnd"/>
            <w:r w:rsidRPr="00255AEE">
              <w:rPr>
                <w:rFonts w:ascii="Times New Roman" w:eastAsia="Times New Roman" w:hAnsi="Times New Roman"/>
                <w:sz w:val="20"/>
                <w:szCs w:val="20"/>
              </w:rPr>
              <w:t xml:space="preserve"> Society 130:551-566.</w:t>
            </w:r>
            <w:bookmarkEnd w:id="0"/>
          </w:p>
        </w:tc>
      </w:tr>
      <w:tr w:rsidR="00B0552F" w:rsidRPr="00255AEE" w:rsidTr="00DE118B">
        <w:trPr>
          <w:trHeight w:val="360"/>
        </w:trPr>
        <w:tc>
          <w:tcPr>
            <w:tcW w:w="13980" w:type="dxa"/>
            <w:gridSpan w:val="7"/>
            <w:vMerge/>
            <w:tcBorders>
              <w:top w:val="nil"/>
              <w:left w:val="nil"/>
              <w:bottom w:val="nil"/>
              <w:right w:val="nil"/>
            </w:tcBorders>
            <w:vAlign w:val="center"/>
            <w:hideMark/>
          </w:tcPr>
          <w:p w:rsidR="00B0552F" w:rsidRPr="00255AEE" w:rsidRDefault="00B0552F" w:rsidP="00DE118B">
            <w:pPr>
              <w:rPr>
                <w:rFonts w:ascii="Times New Roman" w:eastAsia="Times New Roman" w:hAnsi="Times New Roman"/>
                <w:sz w:val="20"/>
                <w:szCs w:val="20"/>
              </w:rPr>
            </w:pPr>
          </w:p>
        </w:tc>
      </w:tr>
      <w:tr w:rsidR="00B0552F" w:rsidRPr="00255AEE" w:rsidTr="00DE118B">
        <w:trPr>
          <w:trHeight w:val="255"/>
        </w:trPr>
        <w:tc>
          <w:tcPr>
            <w:tcW w:w="130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182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3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2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2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228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c>
          <w:tcPr>
            <w:tcW w:w="1640" w:type="dxa"/>
            <w:tcBorders>
              <w:top w:val="nil"/>
              <w:left w:val="nil"/>
              <w:bottom w:val="nil"/>
              <w:right w:val="nil"/>
            </w:tcBorders>
            <w:shd w:val="clear" w:color="auto" w:fill="auto"/>
            <w:noWrap/>
            <w:vAlign w:val="bottom"/>
            <w:hideMark/>
          </w:tcPr>
          <w:p w:rsidR="00B0552F" w:rsidRPr="00255AEE" w:rsidRDefault="00B0552F" w:rsidP="00DE118B">
            <w:pPr>
              <w:rPr>
                <w:rFonts w:ascii="Times New Roman" w:eastAsia="Times New Roman" w:hAnsi="Times New Roman"/>
                <w:sz w:val="20"/>
                <w:szCs w:val="20"/>
              </w:rPr>
            </w:pPr>
          </w:p>
        </w:tc>
      </w:tr>
    </w:tbl>
    <w:p w:rsidR="00B0552F" w:rsidRDefault="00B0552F" w:rsidP="00B0552F"/>
    <w:p w:rsidR="00D84124" w:rsidRDefault="00D84124">
      <w:r>
        <w:br w:type="page"/>
      </w:r>
    </w:p>
    <w:p w:rsidR="00B0552F" w:rsidRDefault="00B0552F">
      <w:pPr>
        <w:sectPr w:rsidR="00B0552F" w:rsidSect="00B0552F">
          <w:pgSz w:w="15840" w:h="12240" w:orient="landscape"/>
          <w:pgMar w:top="1440" w:right="1440" w:bottom="1440" w:left="1440" w:header="720" w:footer="720" w:gutter="0"/>
          <w:cols w:space="720"/>
          <w:docGrid w:linePitch="360"/>
        </w:sectPr>
      </w:pPr>
    </w:p>
    <w:tbl>
      <w:tblPr>
        <w:tblW w:w="8580" w:type="dxa"/>
        <w:tblLook w:val="04A0" w:firstRow="1" w:lastRow="0" w:firstColumn="1" w:lastColumn="0" w:noHBand="0" w:noVBand="1"/>
      </w:tblPr>
      <w:tblGrid>
        <w:gridCol w:w="1220"/>
        <w:gridCol w:w="960"/>
        <w:gridCol w:w="1120"/>
        <w:gridCol w:w="1171"/>
        <w:gridCol w:w="1160"/>
        <w:gridCol w:w="960"/>
        <w:gridCol w:w="1080"/>
        <w:gridCol w:w="1080"/>
      </w:tblGrid>
      <w:tr w:rsidR="00B0552F" w:rsidRPr="00297D9D" w:rsidTr="00DE118B">
        <w:trPr>
          <w:trHeight w:val="1665"/>
        </w:trPr>
        <w:tc>
          <w:tcPr>
            <w:tcW w:w="8580" w:type="dxa"/>
            <w:gridSpan w:val="8"/>
            <w:tcBorders>
              <w:top w:val="nil"/>
              <w:left w:val="nil"/>
              <w:bottom w:val="nil"/>
              <w:right w:val="nil"/>
            </w:tcBorders>
            <w:shd w:val="clear" w:color="auto" w:fill="auto"/>
            <w:hideMark/>
          </w:tcPr>
          <w:p w:rsidR="00B0552F" w:rsidRPr="00297D9D" w:rsidRDefault="00B0552F" w:rsidP="00DE118B">
            <w:pPr>
              <w:rPr>
                <w:rFonts w:ascii="Times New Roman" w:eastAsia="Times New Roman" w:hAnsi="Times New Roman"/>
                <w:color w:val="000000"/>
                <w:sz w:val="24"/>
                <w:szCs w:val="24"/>
              </w:rPr>
            </w:pPr>
            <w:r w:rsidRPr="00297D9D">
              <w:rPr>
                <w:rFonts w:ascii="Times New Roman" w:eastAsia="Times New Roman" w:hAnsi="Times New Roman"/>
                <w:color w:val="000000"/>
                <w:sz w:val="24"/>
                <w:szCs w:val="24"/>
              </w:rPr>
              <w:t xml:space="preserve">Supplementary Table 3. </w:t>
            </w:r>
            <w:r w:rsidRPr="00297D9D">
              <w:rPr>
                <w:rFonts w:ascii="Times New Roman" w:eastAsia="Times New Roman" w:hAnsi="Times New Roman"/>
                <w:i/>
                <w:iCs/>
                <w:color w:val="000000"/>
                <w:sz w:val="24"/>
                <w:szCs w:val="24"/>
              </w:rPr>
              <w:t>Maiasaura</w:t>
            </w:r>
            <w:r w:rsidRPr="00297D9D">
              <w:rPr>
                <w:rFonts w:ascii="Times New Roman" w:eastAsia="Times New Roman" w:hAnsi="Times New Roman"/>
                <w:color w:val="000000"/>
                <w:sz w:val="24"/>
                <w:szCs w:val="24"/>
              </w:rPr>
              <w:t xml:space="preserve"> tibia cortical thicknesses measured from the geometric center to consecutive LAGs or periosteal surface along maximum and minimum axes. Some axis measurements were omitted in T34 due to cortical erosion. Only tibiae from the sample with considerably intact (uncrushed) cortical bone were used in cortical thickness measurements.</w:t>
            </w:r>
          </w:p>
        </w:tc>
      </w:tr>
      <w:tr w:rsidR="00B0552F" w:rsidRPr="00297D9D" w:rsidTr="00DE118B">
        <w:trPr>
          <w:trHeight w:val="1215"/>
        </w:trPr>
        <w:tc>
          <w:tcPr>
            <w:tcW w:w="122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i/>
                <w:iCs/>
                <w:color w:val="000000"/>
              </w:rPr>
              <w:t>Maiasaura</w:t>
            </w:r>
            <w:r w:rsidRPr="00297D9D">
              <w:rPr>
                <w:rFonts w:eastAsia="Times New Roman"/>
                <w:color w:val="000000"/>
              </w:rPr>
              <w:t xml:space="preserve"> Tibia Code</w:t>
            </w:r>
          </w:p>
        </w:tc>
        <w:tc>
          <w:tcPr>
            <w:tcW w:w="96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LAG Number</w:t>
            </w:r>
          </w:p>
        </w:tc>
        <w:tc>
          <w:tcPr>
            <w:tcW w:w="112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Major Axis1 (anterior) (mm)</w:t>
            </w:r>
          </w:p>
        </w:tc>
        <w:tc>
          <w:tcPr>
            <w:tcW w:w="108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Major Axis2 (posterior) (mm)</w:t>
            </w:r>
          </w:p>
        </w:tc>
        <w:tc>
          <w:tcPr>
            <w:tcW w:w="116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Minor Axis1 (lateral) (mm)</w:t>
            </w:r>
          </w:p>
        </w:tc>
        <w:tc>
          <w:tcPr>
            <w:tcW w:w="96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Minor Axis2 (medial) (mm)</w:t>
            </w:r>
          </w:p>
        </w:tc>
        <w:tc>
          <w:tcPr>
            <w:tcW w:w="108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Average Total Thickness (mm)</w:t>
            </w:r>
          </w:p>
        </w:tc>
        <w:tc>
          <w:tcPr>
            <w:tcW w:w="1000" w:type="dxa"/>
            <w:tcBorders>
              <w:top w:val="single" w:sz="4" w:space="0" w:color="auto"/>
              <w:left w:val="nil"/>
              <w:bottom w:val="double" w:sz="6" w:space="0" w:color="auto"/>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Zone Thickness (mm)</w:t>
            </w:r>
          </w:p>
        </w:tc>
      </w:tr>
      <w:tr w:rsidR="00B0552F" w:rsidRPr="00297D9D" w:rsidTr="00DE118B">
        <w:trPr>
          <w:trHeight w:val="315"/>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rPr>
            </w:pPr>
            <w:r w:rsidRPr="00297D9D">
              <w:rPr>
                <w:rFonts w:eastAsia="Times New Roman"/>
              </w:rPr>
              <w:t>PU 22432</w:t>
            </w:r>
          </w:p>
        </w:tc>
        <w:tc>
          <w:tcPr>
            <w:tcW w:w="960" w:type="dxa"/>
            <w:tcBorders>
              <w:top w:val="nil"/>
              <w:left w:val="nil"/>
              <w:bottom w:val="nil"/>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4.0</w:t>
            </w:r>
          </w:p>
        </w:tc>
        <w:tc>
          <w:tcPr>
            <w:tcW w:w="1080" w:type="dxa"/>
            <w:tcBorders>
              <w:top w:val="nil"/>
              <w:left w:val="nil"/>
              <w:bottom w:val="nil"/>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3.5</w:t>
            </w:r>
          </w:p>
        </w:tc>
        <w:tc>
          <w:tcPr>
            <w:tcW w:w="1160" w:type="dxa"/>
            <w:tcBorders>
              <w:top w:val="nil"/>
              <w:left w:val="nil"/>
              <w:bottom w:val="nil"/>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3.6</w:t>
            </w:r>
          </w:p>
        </w:tc>
        <w:tc>
          <w:tcPr>
            <w:tcW w:w="960" w:type="dxa"/>
            <w:tcBorders>
              <w:top w:val="nil"/>
              <w:left w:val="nil"/>
              <w:bottom w:val="nil"/>
              <w:right w:val="nil"/>
            </w:tcBorders>
            <w:shd w:val="clear" w:color="auto" w:fill="auto"/>
            <w:vAlign w:val="center"/>
            <w:hideMark/>
          </w:tcPr>
          <w:p w:rsidR="00B0552F" w:rsidRPr="00297D9D" w:rsidRDefault="00B0552F" w:rsidP="00DE118B">
            <w:pPr>
              <w:jc w:val="center"/>
              <w:rPr>
                <w:rFonts w:eastAsia="Times New Roman"/>
                <w:color w:val="000000"/>
              </w:rPr>
            </w:pPr>
            <w:r w:rsidRPr="00297D9D">
              <w:rPr>
                <w:rFonts w:eastAsia="Times New Roman"/>
                <w:color w:val="000000"/>
              </w:rPr>
              <w:t>3.6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3.7</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T1</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20.2</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16.2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17.0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18.8</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18.8</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22.0</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16.9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T4</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22.2</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21.6</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T5</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25.3</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15.8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25.2</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19.9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T7</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21.3</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21.2</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21.2</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20.2</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20.2</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T10</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24.1</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22.6</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T13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T14</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25.5</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21.4</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23.4</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T15</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27.3</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19.9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24.3</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24.3</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T16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22.5</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22.5</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T18</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23.8</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24.6</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T20</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26.2</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20.7</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23.4</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T22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20.8</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24.0</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T25</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26.2</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T28</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surface</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24.9</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22.7</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T30</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22.1</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22.4</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32.1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30.7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29.3</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6.9</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T31</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21.0</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17.6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21.0</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30.7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27.5</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26.0</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T32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15.3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21.2</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21.2</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32.4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21.5</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26.9</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5.8</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T33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28.6</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27.8</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26.6</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34.5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36.8</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33.6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30.3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33.8</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7.2</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40.9</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37.4</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38.4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38.1</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37.7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39.5</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42.2</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38.9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40.5</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T34</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35.5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21.9</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30.9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22.7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27.7</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27.7</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31.5</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35.9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29.4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34.6</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6.9</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40.3</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39.1</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37.3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40.7</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6.1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43.0</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37.4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40.2</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-0.6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45.0</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42.1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1.9</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6</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46.0</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43.2</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7</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ascii="Times New Roman" w:eastAsia="Times New Roman" w:hAnsi="Times New Roman"/>
                <w:sz w:val="20"/>
                <w:szCs w:val="20"/>
              </w:rPr>
            </w:pP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ascii="Times New Roman" w:eastAsia="Times New Roman" w:hAnsi="Times New Roman"/>
                <w:sz w:val="20"/>
                <w:szCs w:val="2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41.5</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-1.7</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T36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29.0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24.1</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16.0</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23.0</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35.3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35.7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28.7</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32.8</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9.7</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41.8</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33.4</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37.8</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42.0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46.2</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41.2</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3.4</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T43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24.3</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12.1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23.5</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23.5</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38.6</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34.0</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10.5</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45.0</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40.0</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5.4</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45.8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48.7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35.9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43.0</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49.4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51.4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43.7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46.0</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6</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50.5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51.4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43.7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46.3</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0.3</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7</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51.8</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53.9</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43.2</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44.9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48.4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T46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25.8</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13.7</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23.6</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23.6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36.6</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26.9</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38.9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35.6</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12.0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44.6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39.8</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31.8</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39.4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3.8</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34.6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42.9</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41.4</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49.1</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44.6</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38.1</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44.5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44.1</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6</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50.6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46.5</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40.6</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45.7</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45.9</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1.8</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7</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52.6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48.7</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43.3</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47.0</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47.9</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8</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53.2</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49.9</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44.8</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47.4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48.8</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0.9</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9</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53.4</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50.4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45.5</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49.8</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1.0</w:t>
            </w:r>
          </w:p>
        </w:tc>
      </w:tr>
      <w:tr w:rsidR="00B0552F" w:rsidRPr="00297D9D" w:rsidTr="00DE118B">
        <w:trPr>
          <w:trHeight w:val="300"/>
        </w:trPr>
        <w:tc>
          <w:tcPr>
            <w:tcW w:w="12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T50</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1</w:t>
            </w:r>
          </w:p>
        </w:tc>
        <w:tc>
          <w:tcPr>
            <w:tcW w:w="112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28.5</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25.4</w:t>
            </w:r>
          </w:p>
        </w:tc>
        <w:tc>
          <w:tcPr>
            <w:tcW w:w="11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26.7</w:t>
            </w:r>
          </w:p>
        </w:tc>
        <w:tc>
          <w:tcPr>
            <w:tcW w:w="96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21.6</w:t>
            </w:r>
          </w:p>
        </w:tc>
        <w:tc>
          <w:tcPr>
            <w:tcW w:w="108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25.5</w:t>
            </w:r>
          </w:p>
        </w:tc>
        <w:tc>
          <w:tcPr>
            <w:tcW w:w="1000" w:type="dxa"/>
            <w:tcBorders>
              <w:top w:val="nil"/>
              <w:left w:val="nil"/>
              <w:bottom w:val="nil"/>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24.8</w:t>
            </w:r>
          </w:p>
        </w:tc>
      </w:tr>
      <w:tr w:rsidR="00B0552F" w:rsidRPr="00297D9D" w:rsidTr="00DE118B">
        <w:trPr>
          <w:trHeight w:val="315"/>
        </w:trPr>
        <w:tc>
          <w:tcPr>
            <w:tcW w:w="122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 </w:t>
            </w:r>
          </w:p>
        </w:tc>
        <w:tc>
          <w:tcPr>
            <w:tcW w:w="96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w:t>
            </w:r>
          </w:p>
        </w:tc>
        <w:tc>
          <w:tcPr>
            <w:tcW w:w="112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34.6</w:t>
            </w:r>
          </w:p>
        </w:tc>
        <w:tc>
          <w:tcPr>
            <w:tcW w:w="108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33.3</w:t>
            </w:r>
          </w:p>
        </w:tc>
        <w:tc>
          <w:tcPr>
            <w:tcW w:w="116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30.4</w:t>
            </w:r>
          </w:p>
        </w:tc>
        <w:tc>
          <w:tcPr>
            <w:tcW w:w="96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28.4</w:t>
            </w:r>
          </w:p>
        </w:tc>
        <w:tc>
          <w:tcPr>
            <w:tcW w:w="108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31.6</w:t>
            </w:r>
          </w:p>
        </w:tc>
        <w:tc>
          <w:tcPr>
            <w:tcW w:w="1000" w:type="dxa"/>
            <w:tcBorders>
              <w:top w:val="nil"/>
              <w:left w:val="nil"/>
              <w:bottom w:val="double" w:sz="6" w:space="0" w:color="auto"/>
              <w:right w:val="nil"/>
            </w:tcBorders>
            <w:shd w:val="clear" w:color="auto" w:fill="auto"/>
            <w:noWrap/>
            <w:vAlign w:val="center"/>
            <w:hideMark/>
          </w:tcPr>
          <w:p w:rsidR="00B0552F" w:rsidRPr="00297D9D" w:rsidRDefault="00B0552F" w:rsidP="00DE118B">
            <w:pPr>
              <w:jc w:val="center"/>
              <w:rPr>
                <w:rFonts w:eastAsia="Times New Roman"/>
                <w:color w:val="000000"/>
              </w:rPr>
            </w:pPr>
            <w:r w:rsidRPr="00297D9D">
              <w:rPr>
                <w:rFonts w:eastAsia="Times New Roman"/>
                <w:color w:val="000000"/>
              </w:rPr>
              <w:t>6.1</w:t>
            </w:r>
          </w:p>
        </w:tc>
      </w:tr>
    </w:tbl>
    <w:p w:rsidR="00B0552F" w:rsidRDefault="00B0552F" w:rsidP="00B0552F"/>
    <w:p w:rsidR="00B0552F" w:rsidRDefault="00B0552F">
      <w:pPr>
        <w:sectPr w:rsidR="00B0552F">
          <w:pgSz w:w="12240" w:h="15840"/>
          <w:pgMar w:top="1440" w:right="1440" w:bottom="1440" w:left="1440" w:header="720" w:footer="720" w:gutter="0"/>
          <w:cols w:space="720"/>
          <w:docGrid w:linePitch="360"/>
        </w:sectPr>
      </w:pPr>
    </w:p>
    <w:tbl>
      <w:tblPr>
        <w:tblW w:w="6160" w:type="dxa"/>
        <w:tblLook w:val="04A0" w:firstRow="1" w:lastRow="0" w:firstColumn="1" w:lastColumn="0" w:noHBand="0" w:noVBand="1"/>
      </w:tblPr>
      <w:tblGrid>
        <w:gridCol w:w="2420"/>
        <w:gridCol w:w="1960"/>
        <w:gridCol w:w="1780"/>
      </w:tblGrid>
      <w:tr w:rsidR="00B0552F" w:rsidRPr="00BF6546" w:rsidTr="00DE118B">
        <w:trPr>
          <w:trHeight w:val="1005"/>
        </w:trPr>
        <w:tc>
          <w:tcPr>
            <w:tcW w:w="6160" w:type="dxa"/>
            <w:gridSpan w:val="3"/>
            <w:tcBorders>
              <w:top w:val="nil"/>
              <w:left w:val="nil"/>
              <w:bottom w:val="single" w:sz="4" w:space="0" w:color="auto"/>
              <w:right w:val="nil"/>
            </w:tcBorders>
            <w:shd w:val="clear" w:color="auto" w:fill="auto"/>
            <w:hideMark/>
          </w:tcPr>
          <w:p w:rsidR="00B0552F" w:rsidRPr="00BF6546" w:rsidRDefault="00B0552F" w:rsidP="00B0552F">
            <w:pPr>
              <w:rPr>
                <w:rFonts w:ascii="Times New Roman" w:eastAsia="Times New Roman" w:hAnsi="Times New Roman"/>
                <w:sz w:val="24"/>
                <w:szCs w:val="24"/>
              </w:rPr>
            </w:pPr>
            <w:r w:rsidRPr="00BF6546">
              <w:rPr>
                <w:rFonts w:ascii="Times New Roman" w:eastAsia="Times New Roman" w:hAnsi="Times New Roman"/>
                <w:sz w:val="24"/>
                <w:szCs w:val="24"/>
              </w:rPr>
              <w:t xml:space="preserve">Supplementary Table 4. Data for </w:t>
            </w:r>
            <w:r w:rsidRPr="00BF6546">
              <w:rPr>
                <w:rFonts w:ascii="Times New Roman" w:eastAsia="Times New Roman" w:hAnsi="Times New Roman"/>
                <w:i/>
                <w:iCs/>
                <w:sz w:val="24"/>
                <w:szCs w:val="24"/>
              </w:rPr>
              <w:t>Maiasaura</w:t>
            </w:r>
            <w:r w:rsidRPr="00BF6546">
              <w:rPr>
                <w:rFonts w:ascii="Times New Roman" w:eastAsia="Times New Roman" w:hAnsi="Times New Roman"/>
                <w:sz w:val="24"/>
                <w:szCs w:val="24"/>
              </w:rPr>
              <w:t xml:space="preserve"> tibiae used in this study to construct a linear regression (</w:t>
            </w:r>
            <w:r>
              <w:rPr>
                <w:rFonts w:ascii="Times New Roman" w:eastAsia="Times New Roman" w:hAnsi="Times New Roman"/>
                <w:sz w:val="24"/>
                <w:szCs w:val="24"/>
              </w:rPr>
              <w:t>below</w:t>
            </w:r>
            <w:r w:rsidRPr="00BF6546">
              <w:rPr>
                <w:rFonts w:ascii="Times New Roman" w:eastAsia="Times New Roman" w:hAnsi="Times New Roman"/>
                <w:sz w:val="24"/>
                <w:szCs w:val="24"/>
              </w:rPr>
              <w:t>) between tibia length and minimum (least) diaphyseal circumference. n = 40.</w:t>
            </w:r>
          </w:p>
        </w:tc>
      </w:tr>
      <w:tr w:rsidR="00B0552F" w:rsidRPr="00BF6546" w:rsidTr="00DE118B">
        <w:trPr>
          <w:trHeight w:val="915"/>
        </w:trPr>
        <w:tc>
          <w:tcPr>
            <w:tcW w:w="2420" w:type="dxa"/>
            <w:tcBorders>
              <w:top w:val="nil"/>
              <w:left w:val="nil"/>
              <w:bottom w:val="double" w:sz="6" w:space="0" w:color="auto"/>
              <w:right w:val="nil"/>
            </w:tcBorders>
            <w:shd w:val="clear" w:color="auto" w:fill="auto"/>
            <w:vAlign w:val="center"/>
            <w:hideMark/>
          </w:tcPr>
          <w:p w:rsidR="00B0552F" w:rsidRPr="00BF6546" w:rsidRDefault="00B0552F" w:rsidP="00DE118B">
            <w:pPr>
              <w:jc w:val="center"/>
              <w:rPr>
                <w:rFonts w:eastAsia="Times New Roman" w:cs="Arial"/>
              </w:rPr>
            </w:pPr>
            <w:r w:rsidRPr="00BF6546">
              <w:rPr>
                <w:rFonts w:eastAsia="Times New Roman" w:cs="Arial"/>
                <w:i/>
                <w:iCs/>
              </w:rPr>
              <w:t>Maiasaura</w:t>
            </w:r>
            <w:r w:rsidRPr="00BF6546">
              <w:rPr>
                <w:rFonts w:eastAsia="Times New Roman" w:cs="Arial"/>
              </w:rPr>
              <w:t xml:space="preserve"> Tibia Code</w:t>
            </w:r>
          </w:p>
        </w:tc>
        <w:tc>
          <w:tcPr>
            <w:tcW w:w="1960" w:type="dxa"/>
            <w:tcBorders>
              <w:top w:val="nil"/>
              <w:left w:val="nil"/>
              <w:bottom w:val="double" w:sz="6" w:space="0" w:color="auto"/>
              <w:right w:val="nil"/>
            </w:tcBorders>
            <w:shd w:val="clear" w:color="auto" w:fill="auto"/>
            <w:vAlign w:val="center"/>
            <w:hideMark/>
          </w:tcPr>
          <w:p w:rsidR="00B0552F" w:rsidRPr="00BF6546" w:rsidRDefault="00B0552F" w:rsidP="00DE118B">
            <w:pPr>
              <w:jc w:val="center"/>
              <w:rPr>
                <w:rFonts w:eastAsia="Times New Roman" w:cs="Arial"/>
                <w:color w:val="000000"/>
              </w:rPr>
            </w:pPr>
            <w:r w:rsidRPr="00BF6546">
              <w:rPr>
                <w:rFonts w:eastAsia="Times New Roman" w:cs="Arial"/>
                <w:color w:val="000000"/>
              </w:rPr>
              <w:t>Diaphyseal Circumference of Thin Section (cm)</w:t>
            </w:r>
          </w:p>
        </w:tc>
        <w:tc>
          <w:tcPr>
            <w:tcW w:w="1780" w:type="dxa"/>
            <w:tcBorders>
              <w:top w:val="nil"/>
              <w:left w:val="nil"/>
              <w:bottom w:val="double" w:sz="6" w:space="0" w:color="auto"/>
              <w:right w:val="nil"/>
            </w:tcBorders>
            <w:shd w:val="clear" w:color="auto" w:fill="auto"/>
            <w:noWrap/>
            <w:vAlign w:val="center"/>
            <w:hideMark/>
          </w:tcPr>
          <w:p w:rsidR="00B0552F" w:rsidRPr="00BF6546" w:rsidRDefault="00B0552F" w:rsidP="00DE118B">
            <w:pPr>
              <w:jc w:val="center"/>
              <w:rPr>
                <w:rFonts w:eastAsia="Times New Roman" w:cs="Arial"/>
                <w:color w:val="000000"/>
              </w:rPr>
            </w:pPr>
            <w:r w:rsidRPr="00BF6546">
              <w:rPr>
                <w:rFonts w:eastAsia="Times New Roman" w:cs="Arial"/>
                <w:color w:val="000000"/>
              </w:rPr>
              <w:t>Tibia Length (cm)</w:t>
            </w:r>
          </w:p>
        </w:tc>
      </w:tr>
      <w:tr w:rsidR="00B0552F" w:rsidRPr="00BF6546" w:rsidTr="00DE118B">
        <w:trPr>
          <w:trHeight w:val="315"/>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T01</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13.0</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35.0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T02</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14.3</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41.5</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T03</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14.4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33.8</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T04</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14.4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39.7</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T05</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14.9</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39.4</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T06</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15.0</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46.0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T07</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14.4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37.2</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T08</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15.1</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36.2</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T09</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13.6</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38.4</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T10</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14.9</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42.1</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T11</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15.2</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43.5</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T12</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15.5</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41.2</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T13</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16.2</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43.1</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T14</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15.7</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44.3</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T15</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16.7</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46.4</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T16</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44.0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T17</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14.9</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45.2</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T18</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17.2</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43.3</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T19</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17.0</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43.8</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T20</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43.4</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T21</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16.4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46.4</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T22</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15.9</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48.5</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T23</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17.2</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45.4</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T24</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18.3</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48.8</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T25</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16.7</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48.1</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T26</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16.8</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47.4</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T27</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16.6</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48.0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T28</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16.6</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47.2</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T29</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17.0</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48.5</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T30</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21.4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56.0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T31</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21.4</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63.0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T32</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21.3</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69.0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T33</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28.0</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78.0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T36</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30.3</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88.0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T39</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31.6</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83.0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T40</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32.9</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87.5</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T43</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32.9</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88.0</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T44</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38.2</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87.5</w:t>
            </w:r>
          </w:p>
        </w:tc>
      </w:tr>
      <w:tr w:rsidR="00B0552F" w:rsidRPr="00BF6546" w:rsidTr="00DE118B">
        <w:trPr>
          <w:trHeight w:val="300"/>
        </w:trPr>
        <w:tc>
          <w:tcPr>
            <w:tcW w:w="242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T45</w:t>
            </w:r>
          </w:p>
        </w:tc>
        <w:tc>
          <w:tcPr>
            <w:tcW w:w="196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35.3</w:t>
            </w:r>
          </w:p>
        </w:tc>
        <w:tc>
          <w:tcPr>
            <w:tcW w:w="1780" w:type="dxa"/>
            <w:tcBorders>
              <w:top w:val="nil"/>
              <w:left w:val="nil"/>
              <w:bottom w:val="nil"/>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99.7</w:t>
            </w:r>
          </w:p>
        </w:tc>
      </w:tr>
      <w:tr w:rsidR="00B0552F" w:rsidRPr="00BF6546" w:rsidTr="00DE118B">
        <w:trPr>
          <w:trHeight w:val="315"/>
        </w:trPr>
        <w:tc>
          <w:tcPr>
            <w:tcW w:w="2420" w:type="dxa"/>
            <w:tcBorders>
              <w:top w:val="nil"/>
              <w:left w:val="nil"/>
              <w:bottom w:val="double" w:sz="6" w:space="0" w:color="auto"/>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T46</w:t>
            </w:r>
          </w:p>
        </w:tc>
        <w:tc>
          <w:tcPr>
            <w:tcW w:w="1960" w:type="dxa"/>
            <w:tcBorders>
              <w:top w:val="nil"/>
              <w:left w:val="nil"/>
              <w:bottom w:val="double" w:sz="6" w:space="0" w:color="auto"/>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33.2</w:t>
            </w:r>
          </w:p>
        </w:tc>
        <w:tc>
          <w:tcPr>
            <w:tcW w:w="1780" w:type="dxa"/>
            <w:tcBorders>
              <w:top w:val="nil"/>
              <w:left w:val="nil"/>
              <w:bottom w:val="double" w:sz="6" w:space="0" w:color="auto"/>
              <w:right w:val="nil"/>
            </w:tcBorders>
            <w:shd w:val="clear" w:color="auto" w:fill="auto"/>
            <w:noWrap/>
            <w:vAlign w:val="bottom"/>
            <w:hideMark/>
          </w:tcPr>
          <w:p w:rsidR="00B0552F" w:rsidRPr="00BF6546" w:rsidRDefault="00B0552F" w:rsidP="00DE118B">
            <w:pPr>
              <w:jc w:val="center"/>
              <w:rPr>
                <w:rFonts w:eastAsia="Times New Roman" w:cs="Arial"/>
                <w:color w:val="000000"/>
              </w:rPr>
            </w:pPr>
            <w:r w:rsidRPr="00BF6546">
              <w:rPr>
                <w:rFonts w:eastAsia="Times New Roman" w:cs="Arial"/>
                <w:color w:val="000000"/>
              </w:rPr>
              <w:t>93.0</w:t>
            </w:r>
          </w:p>
        </w:tc>
      </w:tr>
    </w:tbl>
    <w:p w:rsidR="00B0552F" w:rsidRDefault="00B0552F" w:rsidP="00B0552F"/>
    <w:p w:rsidR="00B0552F" w:rsidRDefault="00B0552F" w:rsidP="00B0552F"/>
    <w:p w:rsidR="00B0552F" w:rsidRDefault="00B0552F" w:rsidP="00B0552F">
      <w:r w:rsidRPr="00E219C7">
        <w:rPr>
          <w:noProof/>
        </w:rPr>
        <w:drawing>
          <wp:inline distT="0" distB="0" distL="0" distR="0">
            <wp:extent cx="5943600" cy="2747010"/>
            <wp:effectExtent l="0" t="0" r="0" b="15240"/>
            <wp:docPr id="4"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0552F" w:rsidRDefault="00B0552F">
      <w:pPr>
        <w:sectPr w:rsidR="00B0552F">
          <w:pgSz w:w="12240" w:h="15840"/>
          <w:pgMar w:top="1440" w:right="1440" w:bottom="1440" w:left="1440" w:header="720" w:footer="720" w:gutter="0"/>
          <w:cols w:space="720"/>
          <w:docGrid w:linePitch="360"/>
        </w:sectPr>
      </w:pPr>
    </w:p>
    <w:tbl>
      <w:tblPr>
        <w:tblW w:w="4880" w:type="dxa"/>
        <w:tblLook w:val="04A0" w:firstRow="1" w:lastRow="0" w:firstColumn="1" w:lastColumn="0" w:noHBand="0" w:noVBand="1"/>
      </w:tblPr>
      <w:tblGrid>
        <w:gridCol w:w="2200"/>
        <w:gridCol w:w="1200"/>
        <w:gridCol w:w="1526"/>
      </w:tblGrid>
      <w:tr w:rsidR="00B0552F" w:rsidRPr="00935CFD" w:rsidTr="00DE118B">
        <w:trPr>
          <w:trHeight w:val="1305"/>
        </w:trPr>
        <w:tc>
          <w:tcPr>
            <w:tcW w:w="4880" w:type="dxa"/>
            <w:gridSpan w:val="3"/>
            <w:tcBorders>
              <w:top w:val="nil"/>
              <w:left w:val="nil"/>
              <w:bottom w:val="single" w:sz="4" w:space="0" w:color="auto"/>
              <w:right w:val="nil"/>
            </w:tcBorders>
            <w:shd w:val="clear" w:color="auto" w:fill="auto"/>
            <w:hideMark/>
          </w:tcPr>
          <w:p w:rsidR="00B0552F" w:rsidRPr="00935CFD" w:rsidRDefault="00B0552F" w:rsidP="00DE118B">
            <w:pPr>
              <w:rPr>
                <w:rFonts w:ascii="Times New Roman" w:eastAsia="Times New Roman" w:hAnsi="Times New Roman"/>
                <w:color w:val="000000"/>
              </w:rPr>
            </w:pPr>
            <w:r w:rsidRPr="00935CFD">
              <w:rPr>
                <w:rFonts w:ascii="Times New Roman" w:eastAsia="Times New Roman" w:hAnsi="Times New Roman"/>
                <w:color w:val="000000"/>
              </w:rPr>
              <w:t xml:space="preserve">Supplementary Table 5. Data for </w:t>
            </w:r>
            <w:r w:rsidRPr="00935CFD">
              <w:rPr>
                <w:rFonts w:ascii="Times New Roman" w:eastAsia="Times New Roman" w:hAnsi="Times New Roman"/>
                <w:i/>
                <w:iCs/>
                <w:color w:val="000000"/>
              </w:rPr>
              <w:t>Maiasaura</w:t>
            </w:r>
            <w:r w:rsidRPr="00935CFD">
              <w:rPr>
                <w:rFonts w:ascii="Times New Roman" w:eastAsia="Times New Roman" w:hAnsi="Times New Roman"/>
                <w:color w:val="000000"/>
              </w:rPr>
              <w:t xml:space="preserve"> tibiae used in this study to con</w:t>
            </w:r>
            <w:r>
              <w:rPr>
                <w:rFonts w:ascii="Times New Roman" w:eastAsia="Times New Roman" w:hAnsi="Times New Roman"/>
                <w:color w:val="000000"/>
              </w:rPr>
              <w:t>s</w:t>
            </w:r>
            <w:r w:rsidRPr="00935CFD">
              <w:rPr>
                <w:rFonts w:ascii="Times New Roman" w:eastAsia="Times New Roman" w:hAnsi="Times New Roman"/>
                <w:color w:val="000000"/>
              </w:rPr>
              <w:t>truct a second order polynomial regression (</w:t>
            </w:r>
            <w:r>
              <w:rPr>
                <w:rFonts w:ascii="Times New Roman" w:eastAsia="Times New Roman" w:hAnsi="Times New Roman"/>
                <w:color w:val="000000"/>
              </w:rPr>
              <w:t>below</w:t>
            </w:r>
            <w:r w:rsidRPr="00935CFD">
              <w:rPr>
                <w:rFonts w:ascii="Times New Roman" w:eastAsia="Times New Roman" w:hAnsi="Times New Roman"/>
                <w:color w:val="000000"/>
              </w:rPr>
              <w:t>) between tibia length and medullary cavity circumference. n = 29.</w:t>
            </w:r>
          </w:p>
        </w:tc>
      </w:tr>
      <w:tr w:rsidR="00B0552F" w:rsidRPr="00935CFD" w:rsidTr="00DE118B">
        <w:trPr>
          <w:trHeight w:val="915"/>
        </w:trPr>
        <w:tc>
          <w:tcPr>
            <w:tcW w:w="2200" w:type="dxa"/>
            <w:tcBorders>
              <w:top w:val="nil"/>
              <w:left w:val="nil"/>
              <w:bottom w:val="double" w:sz="6" w:space="0" w:color="auto"/>
              <w:right w:val="nil"/>
            </w:tcBorders>
            <w:shd w:val="clear" w:color="auto" w:fill="auto"/>
            <w:vAlign w:val="center"/>
            <w:hideMark/>
          </w:tcPr>
          <w:p w:rsidR="00B0552F" w:rsidRPr="00935CFD" w:rsidRDefault="00B0552F" w:rsidP="00DE118B">
            <w:pPr>
              <w:jc w:val="center"/>
              <w:rPr>
                <w:rFonts w:eastAsia="Times New Roman" w:cs="Arial"/>
              </w:rPr>
            </w:pPr>
            <w:r w:rsidRPr="00935CFD">
              <w:rPr>
                <w:rFonts w:eastAsia="Times New Roman" w:cs="Arial"/>
                <w:i/>
                <w:iCs/>
              </w:rPr>
              <w:t>Maiasaura</w:t>
            </w:r>
            <w:r w:rsidRPr="00935CFD">
              <w:rPr>
                <w:rFonts w:eastAsia="Times New Roman" w:cs="Arial"/>
              </w:rPr>
              <w:t xml:space="preserve"> Tibia Code</w:t>
            </w:r>
          </w:p>
        </w:tc>
        <w:tc>
          <w:tcPr>
            <w:tcW w:w="1200" w:type="dxa"/>
            <w:tcBorders>
              <w:top w:val="nil"/>
              <w:left w:val="nil"/>
              <w:bottom w:val="double" w:sz="6" w:space="0" w:color="auto"/>
              <w:right w:val="nil"/>
            </w:tcBorders>
            <w:shd w:val="clear" w:color="auto" w:fill="auto"/>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Tibia Length (cm)</w:t>
            </w:r>
          </w:p>
        </w:tc>
        <w:tc>
          <w:tcPr>
            <w:tcW w:w="1480" w:type="dxa"/>
            <w:tcBorders>
              <w:top w:val="nil"/>
              <w:left w:val="nil"/>
              <w:bottom w:val="double" w:sz="6" w:space="0" w:color="auto"/>
              <w:right w:val="nil"/>
            </w:tcBorders>
            <w:shd w:val="clear" w:color="auto" w:fill="auto"/>
            <w:vAlign w:val="center"/>
            <w:hideMark/>
          </w:tcPr>
          <w:p w:rsidR="00B0552F" w:rsidRPr="00935CFD" w:rsidRDefault="00B0552F" w:rsidP="00DE118B">
            <w:pPr>
              <w:jc w:val="center"/>
              <w:rPr>
                <w:rFonts w:eastAsia="Times New Roman" w:cs="Arial"/>
              </w:rPr>
            </w:pPr>
            <w:r w:rsidRPr="00935CFD">
              <w:rPr>
                <w:rFonts w:eastAsia="Times New Roman" w:cs="Arial"/>
              </w:rPr>
              <w:t>Circumference of Medullary Cavity (cm)</w:t>
            </w:r>
          </w:p>
        </w:tc>
      </w:tr>
      <w:tr w:rsidR="00B0552F" w:rsidRPr="00935CFD" w:rsidTr="00DE118B">
        <w:trPr>
          <w:trHeight w:val="315"/>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T01</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35.0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4.57</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T03</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33.8</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3.3</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T04</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39.7</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6.02</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T05</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39.4</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3.7</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T06</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46.0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3.15</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T07</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37.2</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4.06</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T09</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38.4</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5.52</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T10</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42.1</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7.86</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T13</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43.1</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5.71</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T14</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44.3</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6.49</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T15</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46.4</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4.78</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T16</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44.0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4.41</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T18</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43.3</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5.77</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T20</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43.4</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6.09</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T22</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48.5</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5.04</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T25</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48.1</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5.8</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T27</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48.0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6.27</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T30</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56.0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7.77</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T31</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63.0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11.22</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T32</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69.0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4.88</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T33</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78.0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9.49</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T34</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75.0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12.98</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T36</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88.0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11.59</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T39</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83.0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11.39</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T40</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87.5</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10.17</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T41</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95.0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13.96</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T43</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88.0</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10.94</w:t>
            </w:r>
          </w:p>
        </w:tc>
      </w:tr>
      <w:tr w:rsidR="00B0552F" w:rsidRPr="00935CFD" w:rsidTr="00DE118B">
        <w:trPr>
          <w:trHeight w:val="300"/>
        </w:trPr>
        <w:tc>
          <w:tcPr>
            <w:tcW w:w="2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T45</w:t>
            </w:r>
          </w:p>
        </w:tc>
        <w:tc>
          <w:tcPr>
            <w:tcW w:w="120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99.7</w:t>
            </w:r>
          </w:p>
        </w:tc>
        <w:tc>
          <w:tcPr>
            <w:tcW w:w="1480" w:type="dxa"/>
            <w:tcBorders>
              <w:top w:val="nil"/>
              <w:left w:val="nil"/>
              <w:bottom w:val="nil"/>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13.25</w:t>
            </w:r>
          </w:p>
        </w:tc>
      </w:tr>
      <w:tr w:rsidR="00B0552F" w:rsidRPr="00935CFD" w:rsidTr="00DE118B">
        <w:trPr>
          <w:trHeight w:val="315"/>
        </w:trPr>
        <w:tc>
          <w:tcPr>
            <w:tcW w:w="2200" w:type="dxa"/>
            <w:tcBorders>
              <w:top w:val="nil"/>
              <w:left w:val="nil"/>
              <w:bottom w:val="double" w:sz="6" w:space="0" w:color="auto"/>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T46</w:t>
            </w:r>
          </w:p>
        </w:tc>
        <w:tc>
          <w:tcPr>
            <w:tcW w:w="1200" w:type="dxa"/>
            <w:tcBorders>
              <w:top w:val="nil"/>
              <w:left w:val="nil"/>
              <w:bottom w:val="double" w:sz="6" w:space="0" w:color="auto"/>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93.0</w:t>
            </w:r>
          </w:p>
        </w:tc>
        <w:tc>
          <w:tcPr>
            <w:tcW w:w="1480" w:type="dxa"/>
            <w:tcBorders>
              <w:top w:val="nil"/>
              <w:left w:val="nil"/>
              <w:bottom w:val="double" w:sz="6" w:space="0" w:color="auto"/>
              <w:right w:val="nil"/>
            </w:tcBorders>
            <w:shd w:val="clear" w:color="auto" w:fill="auto"/>
            <w:noWrap/>
            <w:vAlign w:val="center"/>
            <w:hideMark/>
          </w:tcPr>
          <w:p w:rsidR="00B0552F" w:rsidRPr="00935CFD" w:rsidRDefault="00B0552F" w:rsidP="00DE118B">
            <w:pPr>
              <w:jc w:val="center"/>
              <w:rPr>
                <w:rFonts w:eastAsia="Times New Roman" w:cs="Arial"/>
                <w:color w:val="000000"/>
              </w:rPr>
            </w:pPr>
            <w:r w:rsidRPr="00935CFD">
              <w:rPr>
                <w:rFonts w:eastAsia="Times New Roman" w:cs="Arial"/>
                <w:color w:val="000000"/>
              </w:rPr>
              <w:t>16.25</w:t>
            </w:r>
          </w:p>
        </w:tc>
      </w:tr>
    </w:tbl>
    <w:p w:rsidR="00B0552F" w:rsidRDefault="00B0552F" w:rsidP="00B0552F"/>
    <w:p w:rsidR="00B0552F" w:rsidRDefault="00B0552F" w:rsidP="00B0552F">
      <w:r w:rsidRPr="00B748D2">
        <w:rPr>
          <w:noProof/>
        </w:rPr>
        <w:drawing>
          <wp:inline distT="0" distB="0" distL="0" distR="0">
            <wp:extent cx="5943600" cy="1918970"/>
            <wp:effectExtent l="0" t="0" r="0" b="5080"/>
            <wp:docPr id="5"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0552F" w:rsidRDefault="00B0552F"/>
    <w:p w:rsidR="00141467" w:rsidRDefault="00141467">
      <w:pPr>
        <w:sectPr w:rsidR="00141467">
          <w:pgSz w:w="12240" w:h="15840"/>
          <w:pgMar w:top="1440" w:right="1440" w:bottom="1440" w:left="1440" w:header="720" w:footer="720" w:gutter="0"/>
          <w:cols w:space="720"/>
          <w:docGrid w:linePitch="360"/>
        </w:sectPr>
      </w:pPr>
    </w:p>
    <w:tbl>
      <w:tblPr>
        <w:tblW w:w="6880" w:type="dxa"/>
        <w:tblLook w:val="04A0" w:firstRow="1" w:lastRow="0" w:firstColumn="1" w:lastColumn="0" w:noHBand="0" w:noVBand="1"/>
      </w:tblPr>
      <w:tblGrid>
        <w:gridCol w:w="2553"/>
        <w:gridCol w:w="1659"/>
        <w:gridCol w:w="2668"/>
      </w:tblGrid>
      <w:tr w:rsidR="006B3C8B" w:rsidRPr="00B53331" w:rsidTr="00DD1798">
        <w:trPr>
          <w:trHeight w:val="1080"/>
        </w:trPr>
        <w:tc>
          <w:tcPr>
            <w:tcW w:w="6880" w:type="dxa"/>
            <w:gridSpan w:val="3"/>
            <w:tcBorders>
              <w:top w:val="nil"/>
              <w:left w:val="nil"/>
              <w:bottom w:val="single" w:sz="4" w:space="0" w:color="auto"/>
              <w:right w:val="nil"/>
            </w:tcBorders>
            <w:shd w:val="clear" w:color="auto" w:fill="auto"/>
            <w:hideMark/>
          </w:tcPr>
          <w:p w:rsidR="006B3C8B" w:rsidRPr="00B53331" w:rsidRDefault="006B3C8B" w:rsidP="00DD1798">
            <w:pPr>
              <w:rPr>
                <w:rFonts w:ascii="Times New Roman" w:eastAsia="Times New Roman" w:hAnsi="Times New Roman"/>
                <w:color w:val="000000"/>
                <w:sz w:val="24"/>
                <w:szCs w:val="24"/>
              </w:rPr>
            </w:pPr>
            <w:r w:rsidRPr="00B53331">
              <w:rPr>
                <w:rFonts w:ascii="Times New Roman" w:eastAsia="Times New Roman" w:hAnsi="Times New Roman"/>
                <w:color w:val="000000"/>
                <w:sz w:val="24"/>
                <w:szCs w:val="24"/>
              </w:rPr>
              <w:t xml:space="preserve">Supplementary Table 6. Data for </w:t>
            </w:r>
            <w:r w:rsidRPr="00B53331">
              <w:rPr>
                <w:rFonts w:ascii="Times New Roman" w:eastAsia="Times New Roman" w:hAnsi="Times New Roman"/>
                <w:i/>
                <w:iCs/>
                <w:color w:val="000000"/>
                <w:sz w:val="24"/>
                <w:szCs w:val="24"/>
              </w:rPr>
              <w:t>Maiasaura</w:t>
            </w:r>
            <w:r w:rsidRPr="00B53331">
              <w:rPr>
                <w:rFonts w:ascii="Times New Roman" w:eastAsia="Times New Roman" w:hAnsi="Times New Roman"/>
                <w:color w:val="000000"/>
                <w:sz w:val="24"/>
                <w:szCs w:val="24"/>
              </w:rPr>
              <w:t xml:space="preserve"> tibiae used in this study to construct a power regression </w:t>
            </w:r>
            <w:r>
              <w:rPr>
                <w:rFonts w:ascii="Times New Roman" w:eastAsia="Times New Roman" w:hAnsi="Times New Roman"/>
                <w:color w:val="000000"/>
                <w:sz w:val="24"/>
                <w:szCs w:val="24"/>
              </w:rPr>
              <w:t>(below</w:t>
            </w:r>
            <w:r w:rsidRPr="00B53331">
              <w:rPr>
                <w:rFonts w:ascii="Times New Roman" w:eastAsia="Times New Roman" w:hAnsi="Times New Roman"/>
                <w:color w:val="000000"/>
                <w:sz w:val="24"/>
                <w:szCs w:val="24"/>
              </w:rPr>
              <w:t>) between tibia length and medullary cavity area. n = 29.</w:t>
            </w:r>
          </w:p>
        </w:tc>
      </w:tr>
      <w:tr w:rsidR="006B3C8B" w:rsidRPr="00B53331" w:rsidTr="00DD1798">
        <w:trPr>
          <w:trHeight w:val="360"/>
        </w:trPr>
        <w:tc>
          <w:tcPr>
            <w:tcW w:w="2553" w:type="dxa"/>
            <w:tcBorders>
              <w:top w:val="nil"/>
              <w:left w:val="nil"/>
              <w:bottom w:val="double" w:sz="6" w:space="0" w:color="auto"/>
              <w:right w:val="nil"/>
            </w:tcBorders>
            <w:shd w:val="clear" w:color="auto" w:fill="auto"/>
            <w:vAlign w:val="center"/>
            <w:hideMark/>
          </w:tcPr>
          <w:p w:rsidR="006B3C8B" w:rsidRPr="00B53331" w:rsidRDefault="006B3C8B" w:rsidP="00DD1798">
            <w:pPr>
              <w:jc w:val="center"/>
              <w:rPr>
                <w:rFonts w:eastAsia="Times New Roman" w:cs="Arial"/>
              </w:rPr>
            </w:pPr>
            <w:r w:rsidRPr="00B53331">
              <w:rPr>
                <w:rFonts w:eastAsia="Times New Roman" w:cs="Arial"/>
                <w:i/>
                <w:iCs/>
              </w:rPr>
              <w:t>Maiasaura</w:t>
            </w:r>
            <w:r w:rsidRPr="00B53331">
              <w:rPr>
                <w:rFonts w:eastAsia="Times New Roman" w:cs="Arial"/>
              </w:rPr>
              <w:t xml:space="preserve"> Tibia Code</w:t>
            </w:r>
          </w:p>
        </w:tc>
        <w:tc>
          <w:tcPr>
            <w:tcW w:w="1659" w:type="dxa"/>
            <w:tcBorders>
              <w:top w:val="nil"/>
              <w:left w:val="nil"/>
              <w:bottom w:val="double" w:sz="6" w:space="0" w:color="auto"/>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Tibia Length (cm)</w:t>
            </w:r>
          </w:p>
        </w:tc>
        <w:tc>
          <w:tcPr>
            <w:tcW w:w="2668" w:type="dxa"/>
            <w:tcBorders>
              <w:top w:val="nil"/>
              <w:left w:val="nil"/>
              <w:bottom w:val="double" w:sz="6" w:space="0" w:color="auto"/>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Medullary Cavity Area (cm</w:t>
            </w:r>
            <w:r w:rsidRPr="00B53331">
              <w:rPr>
                <w:rFonts w:eastAsia="Times New Roman" w:cs="Arial"/>
                <w:vertAlign w:val="superscript"/>
              </w:rPr>
              <w:t>2</w:t>
            </w:r>
            <w:r w:rsidRPr="00B53331">
              <w:rPr>
                <w:rFonts w:eastAsia="Times New Roman" w:cs="Arial"/>
              </w:rPr>
              <w:t>)</w:t>
            </w:r>
          </w:p>
        </w:tc>
      </w:tr>
      <w:tr w:rsidR="006B3C8B" w:rsidRPr="00B53331" w:rsidTr="00DD1798">
        <w:trPr>
          <w:trHeight w:val="315"/>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T01</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35.0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1.0</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T03</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33.8</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0.5</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T04</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39.7</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2.2</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T05</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39.4</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0.6</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T06</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46.0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0.6</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T07</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37.2</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1.1</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T09</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38.4</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0.9</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T10</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42.1</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1.9</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T13</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43.1</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1.6</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T14</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44.3</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2.6</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T15</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46.4</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1.3</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T16</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44.0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1.0</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T18</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43.3</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1.8</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T20</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43.4</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2.3</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T22</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48.5</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1.5</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T25</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48.1</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1.7</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T27</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48.0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2.2</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T30</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56.0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4.2</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T31</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63.0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3.7</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T32</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69.0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1.3</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T33</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78.0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5.4</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T34</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75.0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10.6</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T36</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88.0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7.0</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T39</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83.0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7.0</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T40</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87.5</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6.6</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T41</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95.0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13.3</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T43</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88.0</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6.2</w:t>
            </w:r>
          </w:p>
        </w:tc>
      </w:tr>
      <w:tr w:rsidR="006B3C8B" w:rsidRPr="00B53331" w:rsidTr="00DD1798">
        <w:trPr>
          <w:trHeight w:val="300"/>
        </w:trPr>
        <w:tc>
          <w:tcPr>
            <w:tcW w:w="2553"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T45</w:t>
            </w:r>
          </w:p>
        </w:tc>
        <w:tc>
          <w:tcPr>
            <w:tcW w:w="1659"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99.7</w:t>
            </w:r>
          </w:p>
        </w:tc>
        <w:tc>
          <w:tcPr>
            <w:tcW w:w="2668" w:type="dxa"/>
            <w:tcBorders>
              <w:top w:val="nil"/>
              <w:left w:val="nil"/>
              <w:bottom w:val="nil"/>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10.6</w:t>
            </w:r>
          </w:p>
        </w:tc>
      </w:tr>
      <w:tr w:rsidR="006B3C8B" w:rsidRPr="00B53331" w:rsidTr="00DD1798">
        <w:trPr>
          <w:trHeight w:val="315"/>
        </w:trPr>
        <w:tc>
          <w:tcPr>
            <w:tcW w:w="2553" w:type="dxa"/>
            <w:tcBorders>
              <w:top w:val="nil"/>
              <w:left w:val="nil"/>
              <w:bottom w:val="double" w:sz="6" w:space="0" w:color="auto"/>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T46</w:t>
            </w:r>
          </w:p>
        </w:tc>
        <w:tc>
          <w:tcPr>
            <w:tcW w:w="1659" w:type="dxa"/>
            <w:tcBorders>
              <w:top w:val="nil"/>
              <w:left w:val="nil"/>
              <w:bottom w:val="double" w:sz="6" w:space="0" w:color="auto"/>
              <w:right w:val="nil"/>
            </w:tcBorders>
            <w:shd w:val="clear" w:color="auto" w:fill="auto"/>
            <w:noWrap/>
            <w:vAlign w:val="center"/>
            <w:hideMark/>
          </w:tcPr>
          <w:p w:rsidR="006B3C8B" w:rsidRPr="00B53331" w:rsidRDefault="006B3C8B" w:rsidP="00DD1798">
            <w:pPr>
              <w:jc w:val="center"/>
              <w:rPr>
                <w:rFonts w:eastAsia="Times New Roman" w:cs="Arial"/>
                <w:color w:val="000000"/>
              </w:rPr>
            </w:pPr>
            <w:r w:rsidRPr="00B53331">
              <w:rPr>
                <w:rFonts w:eastAsia="Times New Roman" w:cs="Arial"/>
                <w:color w:val="000000"/>
              </w:rPr>
              <w:t>93.0</w:t>
            </w:r>
          </w:p>
        </w:tc>
        <w:tc>
          <w:tcPr>
            <w:tcW w:w="2668" w:type="dxa"/>
            <w:tcBorders>
              <w:top w:val="nil"/>
              <w:left w:val="nil"/>
              <w:bottom w:val="double" w:sz="6" w:space="0" w:color="auto"/>
              <w:right w:val="nil"/>
            </w:tcBorders>
            <w:shd w:val="clear" w:color="auto" w:fill="auto"/>
            <w:noWrap/>
            <w:vAlign w:val="center"/>
            <w:hideMark/>
          </w:tcPr>
          <w:p w:rsidR="006B3C8B" w:rsidRPr="00B53331" w:rsidRDefault="006B3C8B" w:rsidP="00DD1798">
            <w:pPr>
              <w:jc w:val="center"/>
              <w:rPr>
                <w:rFonts w:eastAsia="Times New Roman" w:cs="Arial"/>
              </w:rPr>
            </w:pPr>
            <w:r w:rsidRPr="00B53331">
              <w:rPr>
                <w:rFonts w:eastAsia="Times New Roman" w:cs="Arial"/>
              </w:rPr>
              <w:t>17.4</w:t>
            </w:r>
          </w:p>
        </w:tc>
      </w:tr>
    </w:tbl>
    <w:p w:rsidR="006B3C8B" w:rsidRDefault="006B3C8B" w:rsidP="006B3C8B"/>
    <w:p w:rsidR="006B3C8B" w:rsidRDefault="006B3C8B" w:rsidP="006B3C8B"/>
    <w:p w:rsidR="006B3C8B" w:rsidRDefault="006B3C8B" w:rsidP="006B3C8B">
      <w:r w:rsidRPr="0065680E">
        <w:rPr>
          <w:noProof/>
        </w:rPr>
        <w:drawing>
          <wp:inline distT="0" distB="0" distL="0" distR="0">
            <wp:extent cx="5943600" cy="1932940"/>
            <wp:effectExtent l="0" t="0" r="0" b="10160"/>
            <wp:docPr id="7"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B3C8B" w:rsidRDefault="006B3C8B">
      <w:pPr>
        <w:sectPr w:rsidR="006B3C8B">
          <w:pgSz w:w="12240" w:h="15840"/>
          <w:pgMar w:top="1440" w:right="1440" w:bottom="1440" w:left="1440" w:header="720" w:footer="720" w:gutter="0"/>
          <w:cols w:space="720"/>
          <w:docGrid w:linePitch="360"/>
        </w:sectPr>
      </w:pPr>
    </w:p>
    <w:tbl>
      <w:tblPr>
        <w:tblW w:w="6200" w:type="dxa"/>
        <w:tblLook w:val="04A0" w:firstRow="1" w:lastRow="0" w:firstColumn="1" w:lastColumn="0" w:noHBand="0" w:noVBand="1"/>
      </w:tblPr>
      <w:tblGrid>
        <w:gridCol w:w="2634"/>
        <w:gridCol w:w="1855"/>
        <w:gridCol w:w="1711"/>
      </w:tblGrid>
      <w:tr w:rsidR="006B3C8B" w:rsidRPr="00882DD8" w:rsidTr="00DD1798">
        <w:trPr>
          <w:trHeight w:val="1080"/>
        </w:trPr>
        <w:tc>
          <w:tcPr>
            <w:tcW w:w="6200" w:type="dxa"/>
            <w:gridSpan w:val="3"/>
            <w:tcBorders>
              <w:top w:val="nil"/>
              <w:left w:val="nil"/>
              <w:bottom w:val="single" w:sz="4" w:space="0" w:color="auto"/>
              <w:right w:val="nil"/>
            </w:tcBorders>
            <w:shd w:val="clear" w:color="auto" w:fill="auto"/>
            <w:hideMark/>
          </w:tcPr>
          <w:p w:rsidR="006B3C8B" w:rsidRPr="00882DD8" w:rsidRDefault="006B3C8B" w:rsidP="00141467">
            <w:pPr>
              <w:rPr>
                <w:rFonts w:ascii="Times New Roman" w:eastAsia="Times New Roman" w:hAnsi="Times New Roman"/>
                <w:sz w:val="24"/>
                <w:szCs w:val="24"/>
              </w:rPr>
            </w:pPr>
            <w:r w:rsidRPr="00882DD8">
              <w:rPr>
                <w:rFonts w:ascii="Times New Roman" w:eastAsia="Times New Roman" w:hAnsi="Times New Roman"/>
                <w:sz w:val="24"/>
                <w:szCs w:val="24"/>
              </w:rPr>
              <w:t xml:space="preserve">Supplementary Table 7. Data for </w:t>
            </w:r>
            <w:r w:rsidRPr="00882DD8">
              <w:rPr>
                <w:rFonts w:ascii="Times New Roman" w:eastAsia="Times New Roman" w:hAnsi="Times New Roman"/>
                <w:i/>
                <w:iCs/>
                <w:sz w:val="24"/>
                <w:szCs w:val="24"/>
              </w:rPr>
              <w:t xml:space="preserve">Maiasaura </w:t>
            </w:r>
            <w:r w:rsidRPr="00882DD8">
              <w:rPr>
                <w:rFonts w:ascii="Times New Roman" w:eastAsia="Times New Roman" w:hAnsi="Times New Roman"/>
                <w:sz w:val="24"/>
                <w:szCs w:val="24"/>
              </w:rPr>
              <w:t>tibiae used in this study to con</w:t>
            </w:r>
            <w:r w:rsidR="00141467">
              <w:rPr>
                <w:rFonts w:ascii="Times New Roman" w:eastAsia="Times New Roman" w:hAnsi="Times New Roman"/>
                <w:sz w:val="24"/>
                <w:szCs w:val="24"/>
              </w:rPr>
              <w:t>s</w:t>
            </w:r>
            <w:r w:rsidRPr="00882DD8">
              <w:rPr>
                <w:rFonts w:ascii="Times New Roman" w:eastAsia="Times New Roman" w:hAnsi="Times New Roman"/>
                <w:sz w:val="24"/>
                <w:szCs w:val="24"/>
              </w:rPr>
              <w:t>truct an exponential regression (</w:t>
            </w:r>
            <w:r w:rsidR="00141467">
              <w:rPr>
                <w:rFonts w:ascii="Times New Roman" w:eastAsia="Times New Roman" w:hAnsi="Times New Roman"/>
                <w:sz w:val="24"/>
                <w:szCs w:val="24"/>
              </w:rPr>
              <w:t>below</w:t>
            </w:r>
            <w:bookmarkStart w:id="1" w:name="_GoBack"/>
            <w:bookmarkEnd w:id="1"/>
            <w:r w:rsidRPr="00882DD8">
              <w:rPr>
                <w:rFonts w:ascii="Times New Roman" w:eastAsia="Times New Roman" w:hAnsi="Times New Roman"/>
                <w:sz w:val="24"/>
                <w:szCs w:val="24"/>
              </w:rPr>
              <w:t>) between tibia length and cortical area. n = 40.</w:t>
            </w:r>
          </w:p>
        </w:tc>
      </w:tr>
      <w:tr w:rsidR="006B3C8B" w:rsidRPr="00882DD8" w:rsidTr="00DD1798">
        <w:trPr>
          <w:trHeight w:val="360"/>
        </w:trPr>
        <w:tc>
          <w:tcPr>
            <w:tcW w:w="2634" w:type="dxa"/>
            <w:tcBorders>
              <w:top w:val="nil"/>
              <w:left w:val="nil"/>
              <w:bottom w:val="double" w:sz="6" w:space="0" w:color="auto"/>
              <w:right w:val="nil"/>
            </w:tcBorders>
            <w:shd w:val="clear" w:color="auto" w:fill="auto"/>
            <w:vAlign w:val="center"/>
            <w:hideMark/>
          </w:tcPr>
          <w:p w:rsidR="006B3C8B" w:rsidRPr="00882DD8" w:rsidRDefault="006B3C8B" w:rsidP="00DD1798">
            <w:pPr>
              <w:jc w:val="center"/>
              <w:rPr>
                <w:rFonts w:eastAsia="Times New Roman" w:cs="Arial"/>
              </w:rPr>
            </w:pPr>
            <w:r w:rsidRPr="00882DD8">
              <w:rPr>
                <w:rFonts w:eastAsia="Times New Roman" w:cs="Arial"/>
                <w:i/>
                <w:iCs/>
              </w:rPr>
              <w:t>Maiasaura</w:t>
            </w:r>
            <w:r w:rsidRPr="00882DD8">
              <w:rPr>
                <w:rFonts w:eastAsia="Times New Roman" w:cs="Arial"/>
              </w:rPr>
              <w:t xml:space="preserve"> Tibia Code</w:t>
            </w:r>
          </w:p>
        </w:tc>
        <w:tc>
          <w:tcPr>
            <w:tcW w:w="1855" w:type="dxa"/>
            <w:tcBorders>
              <w:top w:val="nil"/>
              <w:left w:val="nil"/>
              <w:bottom w:val="double" w:sz="6" w:space="0" w:color="auto"/>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Cortical Area (cm</w:t>
            </w:r>
            <w:r w:rsidRPr="00882DD8">
              <w:rPr>
                <w:rFonts w:eastAsia="Times New Roman" w:cs="Arial"/>
                <w:color w:val="000000"/>
                <w:vertAlign w:val="superscript"/>
              </w:rPr>
              <w:t>2</w:t>
            </w:r>
            <w:r w:rsidRPr="00882DD8">
              <w:rPr>
                <w:rFonts w:eastAsia="Times New Roman" w:cs="Arial"/>
                <w:color w:val="000000"/>
              </w:rPr>
              <w:t>)</w:t>
            </w:r>
          </w:p>
        </w:tc>
        <w:tc>
          <w:tcPr>
            <w:tcW w:w="1711" w:type="dxa"/>
            <w:tcBorders>
              <w:top w:val="nil"/>
              <w:left w:val="nil"/>
              <w:bottom w:val="double" w:sz="6" w:space="0" w:color="auto"/>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Tibia Length (cm)</w:t>
            </w:r>
          </w:p>
        </w:tc>
      </w:tr>
      <w:tr w:rsidR="006B3C8B" w:rsidRPr="00882DD8" w:rsidTr="00DD1798">
        <w:trPr>
          <w:trHeight w:val="315"/>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T01</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11.4</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35.0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T02</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11.6</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41.5</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T03</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13.3</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33.8</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T04</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14.2</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39.7</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T05</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14.1</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39.4</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T06</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14.6</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46.0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T07</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14.2</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37.2</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T08</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13.4</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36.2</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T09</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12.6</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38.4</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T10</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14.7</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42.1</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T11</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12.9</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43.5</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T12</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15.7</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41.2</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T13</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14.9</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43.1</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T14</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16.8</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44.3</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T15</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17.6</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46.4</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T16</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16.0</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44.0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T17</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13.3</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45.2</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T18</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18.1</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43.3</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T19</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15.5</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43.8</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T20</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16.1</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43.4</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T21</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14.6</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46.4</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T22</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17.6</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48.5</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T23</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17.0</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45.4</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T24</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17.2</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48.8</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T25</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18.0</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48.1</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T26</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17.5</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47.4</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T27</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19.0</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48.0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T28</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16.4</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47.2</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T29</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15.6</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48.5</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T30</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32.0</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56.0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T31</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31.7</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63.0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T32</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29.1</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69.0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T33</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54.5</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78.0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T36</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60.3</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88.0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T39</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62.2</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83.0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T40</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67.7</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87.5</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T43</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76.3</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88.0</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T44</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90.2</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87.5</w:t>
            </w:r>
          </w:p>
        </w:tc>
      </w:tr>
      <w:tr w:rsidR="006B3C8B" w:rsidRPr="00882DD8" w:rsidTr="00DD1798">
        <w:trPr>
          <w:trHeight w:val="300"/>
        </w:trPr>
        <w:tc>
          <w:tcPr>
            <w:tcW w:w="2634"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T45</w:t>
            </w:r>
          </w:p>
        </w:tc>
        <w:tc>
          <w:tcPr>
            <w:tcW w:w="1855"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86.8</w:t>
            </w:r>
          </w:p>
        </w:tc>
        <w:tc>
          <w:tcPr>
            <w:tcW w:w="1711" w:type="dxa"/>
            <w:tcBorders>
              <w:top w:val="nil"/>
              <w:left w:val="nil"/>
              <w:bottom w:val="nil"/>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99.7</w:t>
            </w:r>
          </w:p>
        </w:tc>
      </w:tr>
      <w:tr w:rsidR="006B3C8B" w:rsidRPr="00882DD8" w:rsidTr="00DD1798">
        <w:trPr>
          <w:trHeight w:val="315"/>
        </w:trPr>
        <w:tc>
          <w:tcPr>
            <w:tcW w:w="2634" w:type="dxa"/>
            <w:tcBorders>
              <w:top w:val="nil"/>
              <w:left w:val="nil"/>
              <w:bottom w:val="double" w:sz="6" w:space="0" w:color="auto"/>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T46</w:t>
            </w:r>
          </w:p>
        </w:tc>
        <w:tc>
          <w:tcPr>
            <w:tcW w:w="1855" w:type="dxa"/>
            <w:tcBorders>
              <w:top w:val="nil"/>
              <w:left w:val="nil"/>
              <w:bottom w:val="double" w:sz="6" w:space="0" w:color="auto"/>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77.0</w:t>
            </w:r>
          </w:p>
        </w:tc>
        <w:tc>
          <w:tcPr>
            <w:tcW w:w="1711" w:type="dxa"/>
            <w:tcBorders>
              <w:top w:val="nil"/>
              <w:left w:val="nil"/>
              <w:bottom w:val="double" w:sz="6" w:space="0" w:color="auto"/>
              <w:right w:val="nil"/>
            </w:tcBorders>
            <w:shd w:val="clear" w:color="auto" w:fill="auto"/>
            <w:noWrap/>
            <w:vAlign w:val="center"/>
            <w:hideMark/>
          </w:tcPr>
          <w:p w:rsidR="006B3C8B" w:rsidRPr="00882DD8" w:rsidRDefault="006B3C8B" w:rsidP="00DD1798">
            <w:pPr>
              <w:jc w:val="center"/>
              <w:rPr>
                <w:rFonts w:eastAsia="Times New Roman" w:cs="Arial"/>
                <w:color w:val="000000"/>
              </w:rPr>
            </w:pPr>
            <w:r w:rsidRPr="00882DD8">
              <w:rPr>
                <w:rFonts w:eastAsia="Times New Roman" w:cs="Arial"/>
                <w:color w:val="000000"/>
              </w:rPr>
              <w:t>93.0</w:t>
            </w:r>
          </w:p>
        </w:tc>
      </w:tr>
    </w:tbl>
    <w:p w:rsidR="006B3C8B" w:rsidRDefault="006B3C8B" w:rsidP="006B3C8B"/>
    <w:p w:rsidR="006B3C8B" w:rsidRDefault="006B3C8B" w:rsidP="006B3C8B"/>
    <w:p w:rsidR="006B3C8B" w:rsidRDefault="006B3C8B" w:rsidP="006B3C8B">
      <w:r w:rsidRPr="006E6E33">
        <w:rPr>
          <w:noProof/>
        </w:rPr>
        <w:drawing>
          <wp:inline distT="0" distB="0" distL="0" distR="0">
            <wp:extent cx="5943600" cy="2750820"/>
            <wp:effectExtent l="0" t="0" r="0" b="11430"/>
            <wp:docPr id="8"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D81935" w:rsidRDefault="00D81935"/>
    <w:sectPr w:rsidR="00D81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BB5"/>
    <w:rsid w:val="00141467"/>
    <w:rsid w:val="006B3C8B"/>
    <w:rsid w:val="008A1BB5"/>
    <w:rsid w:val="00B0552F"/>
    <w:rsid w:val="00D81935"/>
    <w:rsid w:val="00D84124"/>
    <w:rsid w:val="00E434DE"/>
    <w:rsid w:val="00EE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5899FE-DC1F-4145-8F75-1F55270F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chart" Target="charts/chart4.xml"/><Relationship Id="rId4" Type="http://schemas.openxmlformats.org/officeDocument/2006/relationships/image" Target="media/image1.jpeg"/><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2" Type="http://schemas.openxmlformats.org/officeDocument/2006/relationships/oleObject" Target="file:///H:\Documents\Manuscripts\Maiasaura\Histology%20overview\Paleobiology\Revisions\Revision%201%20Woodward%20Supplementary%20Table%204.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H:\Documents\Manuscripts\Maiasaura\Histology%20overview\Paleobiology\Revisions\Revision%201%20Woodward%20Supplementary%20Table%205.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H:\Documents\Manuscripts\Maiasaura\Histology%20overview\Paleobiology\Revisions\Revision%201%20Woodward%20Supplementary%20Table%206.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H:\Documents\Manuscripts\Maiasaura\Histology%20overview\Paleobiology\Revisions\Revision%201%20Woodward%20Supplementary%20Table%207.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25" b="1" i="0" u="none" strike="noStrike" baseline="0">
                <a:solidFill>
                  <a:srgbClr val="000000"/>
                </a:solidFill>
                <a:latin typeface="Arial"/>
                <a:ea typeface="Arial"/>
                <a:cs typeface="Arial"/>
              </a:defRPr>
            </a:pPr>
            <a:r>
              <a:rPr lang="en-US"/>
              <a:t>Relationship Between Tibia Length and Circumference (n = 40)</a:t>
            </a:r>
          </a:p>
        </c:rich>
      </c:tx>
      <c:layout>
        <c:manualLayout>
          <c:xMode val="edge"/>
          <c:yMode val="edge"/>
          <c:x val="0.25480775177075465"/>
          <c:y val="3.8298025246844149E-2"/>
        </c:manualLayout>
      </c:layout>
      <c:overlay val="0"/>
      <c:spPr>
        <a:noFill/>
        <a:ln w="25400">
          <a:noFill/>
        </a:ln>
      </c:spPr>
    </c:title>
    <c:autoTitleDeleted val="0"/>
    <c:plotArea>
      <c:layout>
        <c:manualLayout>
          <c:layoutTarget val="inner"/>
          <c:xMode val="edge"/>
          <c:yMode val="edge"/>
          <c:x val="9.5890475097974034E-2"/>
          <c:y val="0.34226289952712147"/>
          <c:w val="0.86027454802182413"/>
          <c:h val="0.46131086458003329"/>
        </c:manualLayout>
      </c:layout>
      <c:scatterChart>
        <c:scatterStyle val="lineMarker"/>
        <c:varyColors val="0"/>
        <c:ser>
          <c:idx val="0"/>
          <c:order val="0"/>
          <c:spPr>
            <a:ln w="19050">
              <a:noFill/>
            </a:ln>
          </c:spPr>
          <c:marker>
            <c:symbol val="diamond"/>
            <c:size val="5"/>
            <c:spPr>
              <a:solidFill>
                <a:srgbClr val="000080"/>
              </a:solidFill>
              <a:ln>
                <a:solidFill>
                  <a:srgbClr val="000080"/>
                </a:solidFill>
                <a:prstDash val="solid"/>
              </a:ln>
            </c:spPr>
          </c:marker>
          <c:trendline>
            <c:spPr>
              <a:ln w="25400">
                <a:solidFill>
                  <a:srgbClr val="000000"/>
                </a:solidFill>
                <a:prstDash val="solid"/>
              </a:ln>
            </c:spPr>
            <c:trendlineType val="linear"/>
            <c:dispRSqr val="1"/>
            <c:dispEq val="1"/>
            <c:trendlineLbl>
              <c:layout>
                <c:manualLayout>
                  <c:x val="0.17721490865251432"/>
                  <c:y val="-0.1912134356266092"/>
                </c:manualLayout>
              </c:layout>
              <c:numFmt formatCode="General" sourceLinked="0"/>
              <c:spPr>
                <a:noFill/>
                <a:ln w="25400">
                  <a:noFill/>
                </a:ln>
              </c:spPr>
              <c:txPr>
                <a:bodyPr/>
                <a:lstStyle/>
                <a:p>
                  <a:pPr>
                    <a:defRPr sz="925" b="0" i="0" u="none" strike="noStrike" baseline="0">
                      <a:solidFill>
                        <a:srgbClr val="000000"/>
                      </a:solidFill>
                      <a:latin typeface="Arial"/>
                      <a:ea typeface="Arial"/>
                      <a:cs typeface="Arial"/>
                    </a:defRPr>
                  </a:pPr>
                  <a:endParaRPr lang="en-US"/>
                </a:p>
              </c:txPr>
            </c:trendlineLbl>
          </c:trendline>
          <c:xVal>
            <c:numRef>
              <c:f>('Supplementary Table 4'!$C$3:$C$35,'Supplementary Table 4'!$C$36,'Supplementary Table 4'!$C$37,'Supplementary Table 4'!$C$38,'Supplementary Table 4'!$C$39:$C$42)</c:f>
              <c:numCache>
                <c:formatCode>0.0</c:formatCode>
                <c:ptCount val="40"/>
                <c:pt idx="0">
                  <c:v>35</c:v>
                </c:pt>
                <c:pt idx="1">
                  <c:v>41.5</c:v>
                </c:pt>
                <c:pt idx="2">
                  <c:v>33.799999999999997</c:v>
                </c:pt>
                <c:pt idx="3">
                  <c:v>39.700000000000003</c:v>
                </c:pt>
                <c:pt idx="4">
                  <c:v>39.4</c:v>
                </c:pt>
                <c:pt idx="5">
                  <c:v>46</c:v>
                </c:pt>
                <c:pt idx="6">
                  <c:v>37.200000000000003</c:v>
                </c:pt>
                <c:pt idx="7">
                  <c:v>36.200000000000003</c:v>
                </c:pt>
                <c:pt idx="8">
                  <c:v>38.4</c:v>
                </c:pt>
                <c:pt idx="9">
                  <c:v>42.1</c:v>
                </c:pt>
                <c:pt idx="10">
                  <c:v>43.5</c:v>
                </c:pt>
                <c:pt idx="11">
                  <c:v>41.2</c:v>
                </c:pt>
                <c:pt idx="12">
                  <c:v>43.1</c:v>
                </c:pt>
                <c:pt idx="13">
                  <c:v>44.3</c:v>
                </c:pt>
                <c:pt idx="14">
                  <c:v>46.4</c:v>
                </c:pt>
                <c:pt idx="15">
                  <c:v>44</c:v>
                </c:pt>
                <c:pt idx="16">
                  <c:v>45.2</c:v>
                </c:pt>
                <c:pt idx="17">
                  <c:v>43.3</c:v>
                </c:pt>
                <c:pt idx="18">
                  <c:v>43.8</c:v>
                </c:pt>
                <c:pt idx="19">
                  <c:v>43.4</c:v>
                </c:pt>
                <c:pt idx="20">
                  <c:v>46.4</c:v>
                </c:pt>
                <c:pt idx="21">
                  <c:v>48.5</c:v>
                </c:pt>
                <c:pt idx="22">
                  <c:v>45.4</c:v>
                </c:pt>
                <c:pt idx="23">
                  <c:v>48.8</c:v>
                </c:pt>
                <c:pt idx="24">
                  <c:v>48.1</c:v>
                </c:pt>
                <c:pt idx="25">
                  <c:v>47.4</c:v>
                </c:pt>
                <c:pt idx="26">
                  <c:v>48</c:v>
                </c:pt>
                <c:pt idx="27">
                  <c:v>47.2</c:v>
                </c:pt>
                <c:pt idx="28">
                  <c:v>48.5</c:v>
                </c:pt>
                <c:pt idx="29">
                  <c:v>56</c:v>
                </c:pt>
                <c:pt idx="30">
                  <c:v>63</c:v>
                </c:pt>
                <c:pt idx="31">
                  <c:v>69</c:v>
                </c:pt>
                <c:pt idx="32">
                  <c:v>78</c:v>
                </c:pt>
                <c:pt idx="33">
                  <c:v>88</c:v>
                </c:pt>
                <c:pt idx="34">
                  <c:v>83</c:v>
                </c:pt>
                <c:pt idx="35">
                  <c:v>87.5</c:v>
                </c:pt>
                <c:pt idx="36">
                  <c:v>88</c:v>
                </c:pt>
                <c:pt idx="37">
                  <c:v>87.5</c:v>
                </c:pt>
                <c:pt idx="38">
                  <c:v>99.7</c:v>
                </c:pt>
                <c:pt idx="39">
                  <c:v>93</c:v>
                </c:pt>
              </c:numCache>
            </c:numRef>
          </c:xVal>
          <c:yVal>
            <c:numRef>
              <c:f>('Supplementary Table 4'!$B$3:$B$35,'Supplementary Table 4'!$B$36,'Supplementary Table 4'!$B$37:$B$38,'Supplementary Table 4'!$B$39:$B$42)</c:f>
              <c:numCache>
                <c:formatCode>0.0</c:formatCode>
                <c:ptCount val="40"/>
                <c:pt idx="0">
                  <c:v>13.03</c:v>
                </c:pt>
                <c:pt idx="1">
                  <c:v>14.33</c:v>
                </c:pt>
                <c:pt idx="2">
                  <c:v>14.39</c:v>
                </c:pt>
                <c:pt idx="3">
                  <c:v>14.38</c:v>
                </c:pt>
                <c:pt idx="4">
                  <c:v>14.9</c:v>
                </c:pt>
                <c:pt idx="5">
                  <c:v>14.98</c:v>
                </c:pt>
                <c:pt idx="6">
                  <c:v>14.43</c:v>
                </c:pt>
                <c:pt idx="7">
                  <c:v>15.1</c:v>
                </c:pt>
                <c:pt idx="8">
                  <c:v>13.62</c:v>
                </c:pt>
                <c:pt idx="9">
                  <c:v>14.86</c:v>
                </c:pt>
                <c:pt idx="10">
                  <c:v>15.22</c:v>
                </c:pt>
                <c:pt idx="11">
                  <c:v>15.53</c:v>
                </c:pt>
                <c:pt idx="12">
                  <c:v>16.239999999999998</c:v>
                </c:pt>
                <c:pt idx="13">
                  <c:v>15.72</c:v>
                </c:pt>
                <c:pt idx="14">
                  <c:v>16.649999999999999</c:v>
                </c:pt>
                <c:pt idx="15">
                  <c:v>15.36</c:v>
                </c:pt>
                <c:pt idx="16">
                  <c:v>14.93</c:v>
                </c:pt>
                <c:pt idx="17">
                  <c:v>17.22</c:v>
                </c:pt>
                <c:pt idx="18">
                  <c:v>16.989999999999998</c:v>
                </c:pt>
                <c:pt idx="19">
                  <c:v>15.39</c:v>
                </c:pt>
                <c:pt idx="20">
                  <c:v>16.37</c:v>
                </c:pt>
                <c:pt idx="21">
                  <c:v>15.86</c:v>
                </c:pt>
                <c:pt idx="22">
                  <c:v>17.23</c:v>
                </c:pt>
                <c:pt idx="23">
                  <c:v>18.27</c:v>
                </c:pt>
                <c:pt idx="24">
                  <c:v>16.670000000000002</c:v>
                </c:pt>
                <c:pt idx="25">
                  <c:v>16.82</c:v>
                </c:pt>
                <c:pt idx="26">
                  <c:v>16.62</c:v>
                </c:pt>
                <c:pt idx="27">
                  <c:v>16.57</c:v>
                </c:pt>
                <c:pt idx="28">
                  <c:v>17.02</c:v>
                </c:pt>
                <c:pt idx="29">
                  <c:v>21.35</c:v>
                </c:pt>
                <c:pt idx="30">
                  <c:v>21.43</c:v>
                </c:pt>
                <c:pt idx="31">
                  <c:v>21.34</c:v>
                </c:pt>
                <c:pt idx="32">
                  <c:v>27.95</c:v>
                </c:pt>
                <c:pt idx="33">
                  <c:v>30.3</c:v>
                </c:pt>
                <c:pt idx="34">
                  <c:v>31.6</c:v>
                </c:pt>
                <c:pt idx="35">
                  <c:v>32.9</c:v>
                </c:pt>
                <c:pt idx="36">
                  <c:v>32.92</c:v>
                </c:pt>
                <c:pt idx="37">
                  <c:v>38.24</c:v>
                </c:pt>
                <c:pt idx="38">
                  <c:v>35.270000000000003</c:v>
                </c:pt>
                <c:pt idx="39">
                  <c:v>33.159999999999997</c:v>
                </c:pt>
              </c:numCache>
            </c:numRef>
          </c:yVal>
          <c:smooth val="0"/>
        </c:ser>
        <c:dLbls>
          <c:showLegendKey val="0"/>
          <c:showVal val="0"/>
          <c:showCatName val="0"/>
          <c:showSerName val="0"/>
          <c:showPercent val="0"/>
          <c:showBubbleSize val="0"/>
        </c:dLbls>
        <c:axId val="287899792"/>
        <c:axId val="287898672"/>
      </c:scatterChart>
      <c:valAx>
        <c:axId val="287899792"/>
        <c:scaling>
          <c:orientation val="minMax"/>
        </c:scaling>
        <c:delete val="0"/>
        <c:axPos val="b"/>
        <c:title>
          <c:tx>
            <c:rich>
              <a:bodyPr/>
              <a:lstStyle/>
              <a:p>
                <a:pPr>
                  <a:defRPr sz="925" b="1" i="0" u="none" strike="noStrike" baseline="0">
                    <a:solidFill>
                      <a:srgbClr val="000000"/>
                    </a:solidFill>
                    <a:latin typeface="Arial"/>
                    <a:ea typeface="Arial"/>
                    <a:cs typeface="Arial"/>
                  </a:defRPr>
                </a:pPr>
                <a:r>
                  <a:rPr lang="en-US"/>
                  <a:t>Tibia Length (cm)</a:t>
                </a:r>
              </a:p>
            </c:rich>
          </c:tx>
          <c:layout>
            <c:manualLayout>
              <c:xMode val="edge"/>
              <c:yMode val="edge"/>
              <c:x val="0.4551280336533276"/>
              <c:y val="0.88510811148606416"/>
            </c:manualLayout>
          </c:layout>
          <c:overlay val="0"/>
          <c:spPr>
            <a:noFill/>
            <a:ln w="25400">
              <a:noFill/>
            </a:ln>
          </c:spPr>
        </c:title>
        <c:numFmt formatCode="0.0" sourceLinked="1"/>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287898672"/>
        <c:crosses val="autoZero"/>
        <c:crossBetween val="midCat"/>
      </c:valAx>
      <c:valAx>
        <c:axId val="287898672"/>
        <c:scaling>
          <c:logBase val="10"/>
          <c:orientation val="minMax"/>
        </c:scaling>
        <c:delete val="0"/>
        <c:axPos val="l"/>
        <c:majorGridlines>
          <c:spPr>
            <a:ln w="3175">
              <a:solidFill>
                <a:srgbClr val="000000"/>
              </a:solidFill>
              <a:prstDash val="solid"/>
            </a:ln>
          </c:spPr>
        </c:majorGridlines>
        <c:title>
          <c:tx>
            <c:rich>
              <a:bodyPr/>
              <a:lstStyle/>
              <a:p>
                <a:pPr>
                  <a:defRPr sz="925" b="1" i="0" u="none" strike="noStrike" baseline="0">
                    <a:solidFill>
                      <a:srgbClr val="000000"/>
                    </a:solidFill>
                    <a:latin typeface="Arial"/>
                    <a:ea typeface="Arial"/>
                    <a:cs typeface="Arial"/>
                  </a:defRPr>
                </a:pPr>
                <a:r>
                  <a:rPr lang="en-US"/>
                  <a:t>Diaphyseal Circumference (cm)</a:t>
                </a:r>
              </a:p>
            </c:rich>
          </c:tx>
          <c:layout>
            <c:manualLayout>
              <c:xMode val="edge"/>
              <c:yMode val="edge"/>
              <c:x val="1.5353827346924098E-2"/>
              <c:y val="0.23829840261065291"/>
            </c:manualLayout>
          </c:layout>
          <c:overlay val="0"/>
          <c:spPr>
            <a:noFill/>
            <a:ln w="25400">
              <a:noFill/>
            </a:ln>
          </c:spPr>
        </c:title>
        <c:numFmt formatCode="0.0" sourceLinked="1"/>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287899792"/>
        <c:crosses val="autoZero"/>
        <c:crossBetween val="midCat"/>
      </c:valAx>
      <c:spPr>
        <a:noFill/>
        <a:ln w="25400">
          <a:noFill/>
        </a:ln>
      </c:spPr>
    </c:plotArea>
    <c:plotVisOnly val="1"/>
    <c:dispBlanksAs val="gap"/>
    <c:showDLblsOverMax val="0"/>
  </c:chart>
  <c:spPr>
    <a:solidFill>
      <a:srgbClr val="FFFFFF"/>
    </a:solidFill>
    <a:ln w="3175">
      <a:solidFill>
        <a:srgbClr val="000000"/>
      </a:solidFill>
      <a:prstDash val="solid"/>
    </a:ln>
  </c:spPr>
  <c:txPr>
    <a:bodyPr/>
    <a:lstStyle/>
    <a:p>
      <a:pPr>
        <a:defRPr sz="925" b="0" i="0" u="none" strike="noStrike" baseline="0">
          <a:solidFill>
            <a:srgbClr val="000000"/>
          </a:solidFill>
          <a:latin typeface="Arial"/>
          <a:ea typeface="Arial"/>
          <a:cs typeface="Arial"/>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25" b="1" i="0" u="none" strike="noStrike" baseline="0">
                <a:solidFill>
                  <a:srgbClr val="000000"/>
                </a:solidFill>
                <a:latin typeface="Arial"/>
                <a:ea typeface="Arial"/>
                <a:cs typeface="Arial"/>
              </a:defRPr>
            </a:pPr>
            <a:r>
              <a:rPr lang="en-US"/>
              <a:t>Relationship Between Tibia Length and Medullary Cavity Circumference (n = 29)</a:t>
            </a:r>
          </a:p>
        </c:rich>
      </c:tx>
      <c:layout>
        <c:manualLayout>
          <c:xMode val="edge"/>
          <c:yMode val="edge"/>
          <c:x val="0.18589738611440693"/>
          <c:y val="3.8298025246844149E-2"/>
        </c:manualLayout>
      </c:layout>
      <c:overlay val="0"/>
      <c:spPr>
        <a:noFill/>
        <a:ln w="25400">
          <a:noFill/>
        </a:ln>
      </c:spPr>
    </c:title>
    <c:autoTitleDeleted val="0"/>
    <c:plotArea>
      <c:layout>
        <c:manualLayout>
          <c:layoutTarget val="inner"/>
          <c:xMode val="edge"/>
          <c:yMode val="edge"/>
          <c:x val="9.5890475097974034E-2"/>
          <c:y val="0.34226289952712147"/>
          <c:w val="0.86027454802182413"/>
          <c:h val="0.46131086458003329"/>
        </c:manualLayout>
      </c:layout>
      <c:scatterChart>
        <c:scatterStyle val="lineMarker"/>
        <c:varyColors val="0"/>
        <c:ser>
          <c:idx val="0"/>
          <c:order val="0"/>
          <c:spPr>
            <a:ln w="19050">
              <a:noFill/>
            </a:ln>
          </c:spPr>
          <c:marker>
            <c:symbol val="diamond"/>
            <c:size val="5"/>
            <c:spPr>
              <a:solidFill>
                <a:srgbClr val="000080"/>
              </a:solidFill>
              <a:ln>
                <a:solidFill>
                  <a:srgbClr val="000080"/>
                </a:solidFill>
                <a:prstDash val="solid"/>
              </a:ln>
            </c:spPr>
          </c:marker>
          <c:trendline>
            <c:spPr>
              <a:ln w="25400">
                <a:solidFill>
                  <a:srgbClr val="000000"/>
                </a:solidFill>
                <a:prstDash val="solid"/>
              </a:ln>
            </c:spPr>
            <c:trendlineType val="poly"/>
            <c:order val="2"/>
            <c:dispRSqr val="1"/>
            <c:dispEq val="1"/>
            <c:trendlineLbl>
              <c:layout>
                <c:manualLayout>
                  <c:x val="0.1643602631862798"/>
                  <c:y val="-0.27907730283714538"/>
                </c:manualLayout>
              </c:layout>
              <c:numFmt formatCode="General" sourceLinked="0"/>
              <c:spPr>
                <a:noFill/>
                <a:ln w="25400">
                  <a:noFill/>
                </a:ln>
              </c:spPr>
              <c:txPr>
                <a:bodyPr/>
                <a:lstStyle/>
                <a:p>
                  <a:pPr>
                    <a:defRPr sz="925" b="0" i="0" u="none" strike="noStrike" baseline="0">
                      <a:solidFill>
                        <a:srgbClr val="000000"/>
                      </a:solidFill>
                      <a:latin typeface="Arial"/>
                      <a:ea typeface="Arial"/>
                      <a:cs typeface="Arial"/>
                    </a:defRPr>
                  </a:pPr>
                  <a:endParaRPr lang="en-US"/>
                </a:p>
              </c:txPr>
            </c:trendlineLbl>
          </c:trendline>
          <c:xVal>
            <c:numRef>
              <c:f>('Supplementary Table 5'!$B$3,'Supplementary Table 5'!$B$4:$B$8,'Supplementary Table 5'!$B$9:$B$10,'Supplementary Table 5'!$B$11:$B$14,'Supplementary Table 5'!$B$15,'Supplementary Table 5'!$B$16,'Supplementary Table 5'!$B$17,'Supplementary Table 5'!$B$18,'Supplementary Table 5'!$B$19,'Supplementary Table 5'!$B$20:$B$24,'Supplementary Table 5'!$B$25,'Supplementary Table 5'!$B$26:$B$28,'Supplementary Table 5'!$B$29,'Supplementary Table 5'!$B$30:$B$31)</c:f>
              <c:numCache>
                <c:formatCode>0.0</c:formatCode>
                <c:ptCount val="29"/>
                <c:pt idx="0">
                  <c:v>35</c:v>
                </c:pt>
                <c:pt idx="1">
                  <c:v>33.799999999999997</c:v>
                </c:pt>
                <c:pt idx="2">
                  <c:v>39.700000000000003</c:v>
                </c:pt>
                <c:pt idx="3">
                  <c:v>39.4</c:v>
                </c:pt>
                <c:pt idx="4">
                  <c:v>46</c:v>
                </c:pt>
                <c:pt idx="5">
                  <c:v>37.200000000000003</c:v>
                </c:pt>
                <c:pt idx="6">
                  <c:v>38.4</c:v>
                </c:pt>
                <c:pt idx="7">
                  <c:v>42.1</c:v>
                </c:pt>
                <c:pt idx="8">
                  <c:v>43.1</c:v>
                </c:pt>
                <c:pt idx="9">
                  <c:v>44.3</c:v>
                </c:pt>
                <c:pt idx="10">
                  <c:v>46.4</c:v>
                </c:pt>
                <c:pt idx="11">
                  <c:v>44</c:v>
                </c:pt>
                <c:pt idx="12">
                  <c:v>43.3</c:v>
                </c:pt>
                <c:pt idx="13">
                  <c:v>43.4</c:v>
                </c:pt>
                <c:pt idx="14">
                  <c:v>48.5</c:v>
                </c:pt>
                <c:pt idx="15">
                  <c:v>48.1</c:v>
                </c:pt>
                <c:pt idx="16">
                  <c:v>48</c:v>
                </c:pt>
                <c:pt idx="17">
                  <c:v>56</c:v>
                </c:pt>
                <c:pt idx="18">
                  <c:v>63</c:v>
                </c:pt>
                <c:pt idx="19">
                  <c:v>69</c:v>
                </c:pt>
                <c:pt idx="20">
                  <c:v>78</c:v>
                </c:pt>
                <c:pt idx="21">
                  <c:v>75</c:v>
                </c:pt>
                <c:pt idx="22">
                  <c:v>88</c:v>
                </c:pt>
                <c:pt idx="23">
                  <c:v>83</c:v>
                </c:pt>
                <c:pt idx="24">
                  <c:v>87.5</c:v>
                </c:pt>
                <c:pt idx="25">
                  <c:v>95</c:v>
                </c:pt>
                <c:pt idx="26">
                  <c:v>88</c:v>
                </c:pt>
                <c:pt idx="27">
                  <c:v>99.7</c:v>
                </c:pt>
                <c:pt idx="28">
                  <c:v>93</c:v>
                </c:pt>
              </c:numCache>
            </c:numRef>
          </c:xVal>
          <c:yVal>
            <c:numRef>
              <c:f>('Supplementary Table 5'!$C$3,'Supplementary Table 5'!$C$4:$C$8,'Supplementary Table 5'!$C$9:$C$10,'Supplementary Table 5'!$C$11:$C$14,'Supplementary Table 5'!$C$15,'Supplementary Table 5'!$C$16,'Supplementary Table 5'!$C$17,'Supplementary Table 5'!$C$18,'Supplementary Table 5'!$C$19,'Supplementary Table 5'!$C$20:$C$24,'Supplementary Table 5'!$C$25,'Supplementary Table 5'!$C$26:$C$28,'Supplementary Table 5'!$C$29,'Supplementary Table 5'!$C$30:$C$31)</c:f>
              <c:numCache>
                <c:formatCode>General</c:formatCode>
                <c:ptCount val="29"/>
                <c:pt idx="0">
                  <c:v>4.57</c:v>
                </c:pt>
                <c:pt idx="1">
                  <c:v>3.3</c:v>
                </c:pt>
                <c:pt idx="2">
                  <c:v>6.02</c:v>
                </c:pt>
                <c:pt idx="3">
                  <c:v>3.7</c:v>
                </c:pt>
                <c:pt idx="4">
                  <c:v>3.15</c:v>
                </c:pt>
                <c:pt idx="5">
                  <c:v>4.0599999999999996</c:v>
                </c:pt>
                <c:pt idx="6">
                  <c:v>5.52</c:v>
                </c:pt>
                <c:pt idx="7">
                  <c:v>7.86</c:v>
                </c:pt>
                <c:pt idx="8">
                  <c:v>5.71</c:v>
                </c:pt>
                <c:pt idx="9">
                  <c:v>6.49</c:v>
                </c:pt>
                <c:pt idx="10">
                  <c:v>4.78</c:v>
                </c:pt>
                <c:pt idx="11">
                  <c:v>4.41</c:v>
                </c:pt>
                <c:pt idx="12">
                  <c:v>5.77</c:v>
                </c:pt>
                <c:pt idx="13">
                  <c:v>6.09</c:v>
                </c:pt>
                <c:pt idx="14">
                  <c:v>5.04</c:v>
                </c:pt>
                <c:pt idx="15">
                  <c:v>5.8</c:v>
                </c:pt>
                <c:pt idx="16">
                  <c:v>6.27</c:v>
                </c:pt>
                <c:pt idx="17">
                  <c:v>7.77</c:v>
                </c:pt>
                <c:pt idx="18">
                  <c:v>11.22</c:v>
                </c:pt>
                <c:pt idx="19">
                  <c:v>4.88</c:v>
                </c:pt>
                <c:pt idx="20">
                  <c:v>9.49</c:v>
                </c:pt>
                <c:pt idx="21">
                  <c:v>12.98</c:v>
                </c:pt>
                <c:pt idx="22">
                  <c:v>11.59</c:v>
                </c:pt>
                <c:pt idx="23">
                  <c:v>11.39</c:v>
                </c:pt>
                <c:pt idx="24">
                  <c:v>10.17</c:v>
                </c:pt>
                <c:pt idx="25">
                  <c:v>13.96</c:v>
                </c:pt>
                <c:pt idx="26">
                  <c:v>10.94</c:v>
                </c:pt>
                <c:pt idx="27">
                  <c:v>13.25</c:v>
                </c:pt>
                <c:pt idx="28">
                  <c:v>16.25</c:v>
                </c:pt>
              </c:numCache>
            </c:numRef>
          </c:yVal>
          <c:smooth val="0"/>
        </c:ser>
        <c:dLbls>
          <c:showLegendKey val="0"/>
          <c:showVal val="0"/>
          <c:showCatName val="0"/>
          <c:showSerName val="0"/>
          <c:showPercent val="0"/>
          <c:showBubbleSize val="0"/>
        </c:dLbls>
        <c:axId val="337000832"/>
        <c:axId val="337001392"/>
      </c:scatterChart>
      <c:valAx>
        <c:axId val="337000832"/>
        <c:scaling>
          <c:orientation val="minMax"/>
        </c:scaling>
        <c:delete val="0"/>
        <c:axPos val="b"/>
        <c:title>
          <c:tx>
            <c:rich>
              <a:bodyPr/>
              <a:lstStyle/>
              <a:p>
                <a:pPr>
                  <a:defRPr sz="925" b="1" i="0" u="none" strike="noStrike" baseline="0">
                    <a:solidFill>
                      <a:srgbClr val="000000"/>
                    </a:solidFill>
                    <a:latin typeface="Arial"/>
                    <a:ea typeface="Arial"/>
                    <a:cs typeface="Arial"/>
                  </a:defRPr>
                </a:pPr>
                <a:r>
                  <a:rPr lang="en-US"/>
                  <a:t>Tibia Length (cm)</a:t>
                </a:r>
              </a:p>
            </c:rich>
          </c:tx>
          <c:layout>
            <c:manualLayout>
              <c:xMode val="edge"/>
              <c:yMode val="edge"/>
              <c:x val="0.4551280336533276"/>
              <c:y val="0.88510811148606416"/>
            </c:manualLayout>
          </c:layout>
          <c:overlay val="0"/>
          <c:spPr>
            <a:noFill/>
            <a:ln w="25400">
              <a:noFill/>
            </a:ln>
          </c:spPr>
        </c:title>
        <c:numFmt formatCode="0.0" sourceLinked="1"/>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337001392"/>
        <c:crosses val="autoZero"/>
        <c:crossBetween val="midCat"/>
      </c:valAx>
      <c:valAx>
        <c:axId val="337001392"/>
        <c:scaling>
          <c:logBase val="10"/>
          <c:orientation val="minMax"/>
        </c:scaling>
        <c:delete val="0"/>
        <c:axPos val="l"/>
        <c:majorGridlines>
          <c:spPr>
            <a:ln w="3175">
              <a:solidFill>
                <a:srgbClr val="000000"/>
              </a:solidFill>
              <a:prstDash val="solid"/>
            </a:ln>
          </c:spPr>
        </c:majorGridlines>
        <c:title>
          <c:tx>
            <c:rich>
              <a:bodyPr/>
              <a:lstStyle/>
              <a:p>
                <a:pPr>
                  <a:defRPr sz="925" b="1" i="0" u="none" strike="noStrike" baseline="0">
                    <a:solidFill>
                      <a:srgbClr val="000000"/>
                    </a:solidFill>
                    <a:latin typeface="Arial"/>
                    <a:ea typeface="Arial"/>
                    <a:cs typeface="Arial"/>
                  </a:defRPr>
                </a:pPr>
                <a:r>
                  <a:rPr lang="en-US"/>
                  <a:t>Medullary Cavity Circumference  (cm)</a:t>
                </a:r>
              </a:p>
            </c:rich>
          </c:tx>
          <c:layout>
            <c:manualLayout>
              <c:xMode val="edge"/>
              <c:yMode val="edge"/>
              <c:x val="8.0478912738647379E-3"/>
              <c:y val="0.2687517238311312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337000832"/>
        <c:crosses val="autoZero"/>
        <c:crossBetween val="midCat"/>
      </c:valAx>
      <c:spPr>
        <a:noFill/>
        <a:ln w="25400">
          <a:noFill/>
        </a:ln>
      </c:spPr>
    </c:plotArea>
    <c:plotVisOnly val="1"/>
    <c:dispBlanksAs val="gap"/>
    <c:showDLblsOverMax val="0"/>
  </c:chart>
  <c:spPr>
    <a:solidFill>
      <a:srgbClr val="FFFFFF"/>
    </a:solidFill>
    <a:ln w="3175">
      <a:solidFill>
        <a:srgbClr val="000000"/>
      </a:solidFill>
      <a:prstDash val="solid"/>
    </a:ln>
  </c:spPr>
  <c:txPr>
    <a:bodyPr/>
    <a:lstStyle/>
    <a:p>
      <a:pPr>
        <a:defRPr sz="925" b="0" i="0" u="none" strike="noStrike" baseline="0">
          <a:solidFill>
            <a:srgbClr val="000000"/>
          </a:solidFill>
          <a:latin typeface="Arial"/>
          <a:ea typeface="Arial"/>
          <a:cs typeface="Arial"/>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25" b="1" i="0" u="none" strike="noStrike" baseline="0">
                <a:solidFill>
                  <a:srgbClr val="000000"/>
                </a:solidFill>
                <a:latin typeface="Arial"/>
                <a:ea typeface="Arial"/>
                <a:cs typeface="Arial"/>
              </a:defRPr>
            </a:pPr>
            <a:r>
              <a:rPr lang="en-US"/>
              <a:t>Relationship Between Tibia Length and Medullary Cavity Area </a:t>
            </a:r>
          </a:p>
          <a:p>
            <a:pPr>
              <a:defRPr sz="1125" b="1" i="0" u="none" strike="noStrike" baseline="0">
                <a:solidFill>
                  <a:srgbClr val="000000"/>
                </a:solidFill>
                <a:latin typeface="Arial"/>
                <a:ea typeface="Arial"/>
                <a:cs typeface="Arial"/>
              </a:defRPr>
            </a:pPr>
            <a:r>
              <a:rPr lang="en-US"/>
              <a:t>(n = 29)</a:t>
            </a:r>
          </a:p>
        </c:rich>
      </c:tx>
      <c:layout>
        <c:manualLayout>
          <c:xMode val="edge"/>
          <c:yMode val="edge"/>
          <c:x val="5.4821488660071319E-2"/>
          <c:y val="5.1442707026064724E-2"/>
        </c:manualLayout>
      </c:layout>
      <c:overlay val="0"/>
      <c:spPr>
        <a:noFill/>
        <a:ln w="25400">
          <a:noFill/>
        </a:ln>
      </c:spPr>
    </c:title>
    <c:autoTitleDeleted val="0"/>
    <c:plotArea>
      <c:layout>
        <c:manualLayout>
          <c:layoutTarget val="inner"/>
          <c:xMode val="edge"/>
          <c:yMode val="edge"/>
          <c:x val="8.6419868853776644E-2"/>
          <c:y val="0.34226289952712147"/>
          <c:w val="0.86968566433800631"/>
          <c:h val="0.46131086458003329"/>
        </c:manualLayout>
      </c:layout>
      <c:scatterChart>
        <c:scatterStyle val="lineMarker"/>
        <c:varyColors val="0"/>
        <c:ser>
          <c:idx val="0"/>
          <c:order val="0"/>
          <c:spPr>
            <a:ln w="19050">
              <a:noFill/>
            </a:ln>
          </c:spPr>
          <c:marker>
            <c:symbol val="diamond"/>
            <c:size val="5"/>
            <c:spPr>
              <a:solidFill>
                <a:srgbClr val="000080"/>
              </a:solidFill>
              <a:ln>
                <a:solidFill>
                  <a:srgbClr val="000080"/>
                </a:solidFill>
                <a:prstDash val="solid"/>
              </a:ln>
            </c:spPr>
          </c:marker>
          <c:trendline>
            <c:spPr>
              <a:ln w="25400">
                <a:solidFill>
                  <a:srgbClr val="000000"/>
                </a:solidFill>
                <a:prstDash val="solid"/>
              </a:ln>
            </c:spPr>
            <c:trendlineType val="power"/>
            <c:dispRSqr val="1"/>
            <c:dispEq val="1"/>
            <c:trendlineLbl>
              <c:layout>
                <c:manualLayout>
                  <c:x val="0.18368081403710312"/>
                  <c:y val="-0.32310285549994799"/>
                </c:manualLayout>
              </c:layout>
              <c:numFmt formatCode="General" sourceLinked="0"/>
              <c:spPr>
                <a:noFill/>
                <a:ln w="25400">
                  <a:noFill/>
                </a:ln>
              </c:spPr>
              <c:txPr>
                <a:bodyPr/>
                <a:lstStyle/>
                <a:p>
                  <a:pPr>
                    <a:defRPr sz="925" b="0" i="0" u="none" strike="noStrike" baseline="0">
                      <a:solidFill>
                        <a:srgbClr val="000000"/>
                      </a:solidFill>
                      <a:latin typeface="Arial"/>
                      <a:ea typeface="Arial"/>
                      <a:cs typeface="Arial"/>
                    </a:defRPr>
                  </a:pPr>
                  <a:endParaRPr lang="en-US"/>
                </a:p>
              </c:txPr>
            </c:trendlineLbl>
          </c:trendline>
          <c:xVal>
            <c:numRef>
              <c:f>('Supplementary Table 6'!$B$3,'Supplementary Table 6'!$B$4:$B$8,'Supplementary Table 6'!$B$9:$B$10,'Supplementary Table 6'!$B$11:$B$14,'Supplementary Table 6'!$B$15,'Supplementary Table 6'!$B$16,'Supplementary Table 6'!$B$17,'Supplementary Table 6'!$B$18,'Supplementary Table 6'!$B$19,'Supplementary Table 6'!$B$20:$B$24,'Supplementary Table 6'!$B$25,'Supplementary Table 6'!$B$26:$B$28,'Supplementary Table 6'!$B$29,'Supplementary Table 6'!$B$30:$B$31)</c:f>
              <c:numCache>
                <c:formatCode>0.0</c:formatCode>
                <c:ptCount val="29"/>
                <c:pt idx="0">
                  <c:v>35</c:v>
                </c:pt>
                <c:pt idx="1">
                  <c:v>33.799999999999997</c:v>
                </c:pt>
                <c:pt idx="2">
                  <c:v>39.700000000000003</c:v>
                </c:pt>
                <c:pt idx="3">
                  <c:v>39.4</c:v>
                </c:pt>
                <c:pt idx="4">
                  <c:v>46</c:v>
                </c:pt>
                <c:pt idx="5">
                  <c:v>37.200000000000003</c:v>
                </c:pt>
                <c:pt idx="6">
                  <c:v>38.4</c:v>
                </c:pt>
                <c:pt idx="7">
                  <c:v>42.1</c:v>
                </c:pt>
                <c:pt idx="8">
                  <c:v>43.1</c:v>
                </c:pt>
                <c:pt idx="9">
                  <c:v>44.3</c:v>
                </c:pt>
                <c:pt idx="10">
                  <c:v>46.4</c:v>
                </c:pt>
                <c:pt idx="11">
                  <c:v>44</c:v>
                </c:pt>
                <c:pt idx="12">
                  <c:v>43.3</c:v>
                </c:pt>
                <c:pt idx="13">
                  <c:v>43.4</c:v>
                </c:pt>
                <c:pt idx="14">
                  <c:v>48.5</c:v>
                </c:pt>
                <c:pt idx="15">
                  <c:v>48.1</c:v>
                </c:pt>
                <c:pt idx="16">
                  <c:v>48</c:v>
                </c:pt>
                <c:pt idx="17">
                  <c:v>56</c:v>
                </c:pt>
                <c:pt idx="18">
                  <c:v>63</c:v>
                </c:pt>
                <c:pt idx="19">
                  <c:v>69</c:v>
                </c:pt>
                <c:pt idx="20">
                  <c:v>78</c:v>
                </c:pt>
                <c:pt idx="21">
                  <c:v>75</c:v>
                </c:pt>
                <c:pt idx="22">
                  <c:v>88</c:v>
                </c:pt>
                <c:pt idx="23">
                  <c:v>83</c:v>
                </c:pt>
                <c:pt idx="24">
                  <c:v>87.5</c:v>
                </c:pt>
                <c:pt idx="25">
                  <c:v>95</c:v>
                </c:pt>
                <c:pt idx="26">
                  <c:v>88</c:v>
                </c:pt>
                <c:pt idx="27">
                  <c:v>99.7</c:v>
                </c:pt>
                <c:pt idx="28">
                  <c:v>93</c:v>
                </c:pt>
              </c:numCache>
            </c:numRef>
          </c:xVal>
          <c:yVal>
            <c:numRef>
              <c:f>('Supplementary Table 6'!$C$3,'Supplementary Table 6'!$C$4:$C$8,'Supplementary Table 6'!$C$9:$C$10,'Supplementary Table 6'!$C$11:$C$14,'Supplementary Table 6'!$C$15,'Supplementary Table 6'!$C$16,'Supplementary Table 6'!$C$17,'Supplementary Table 6'!$C$18,'Supplementary Table 6'!$C$19,'Supplementary Table 6'!$C$20:$C$24,'Supplementary Table 6'!$C$25,'Supplementary Table 6'!$C$26:$C$28,'Supplementary Table 6'!$C$29,'Supplementary Table 6'!$C$30:$C$31)</c:f>
              <c:numCache>
                <c:formatCode>0.0</c:formatCode>
                <c:ptCount val="29"/>
                <c:pt idx="0">
                  <c:v>1</c:v>
                </c:pt>
                <c:pt idx="1">
                  <c:v>0.5</c:v>
                </c:pt>
                <c:pt idx="2">
                  <c:v>2.2000000000000002</c:v>
                </c:pt>
                <c:pt idx="3">
                  <c:v>0.64</c:v>
                </c:pt>
                <c:pt idx="4">
                  <c:v>0.63</c:v>
                </c:pt>
                <c:pt idx="5">
                  <c:v>1.087</c:v>
                </c:pt>
                <c:pt idx="6">
                  <c:v>0.89</c:v>
                </c:pt>
                <c:pt idx="7">
                  <c:v>1.9</c:v>
                </c:pt>
                <c:pt idx="8">
                  <c:v>1.58</c:v>
                </c:pt>
                <c:pt idx="9">
                  <c:v>2.5499999999999998</c:v>
                </c:pt>
                <c:pt idx="10">
                  <c:v>1.32</c:v>
                </c:pt>
                <c:pt idx="11">
                  <c:v>0.98</c:v>
                </c:pt>
                <c:pt idx="12">
                  <c:v>1.75</c:v>
                </c:pt>
                <c:pt idx="13">
                  <c:v>2.27</c:v>
                </c:pt>
                <c:pt idx="14">
                  <c:v>1.53</c:v>
                </c:pt>
                <c:pt idx="15">
                  <c:v>1.72</c:v>
                </c:pt>
                <c:pt idx="16">
                  <c:v>2.16</c:v>
                </c:pt>
                <c:pt idx="17">
                  <c:v>4.17</c:v>
                </c:pt>
                <c:pt idx="18">
                  <c:v>3.66</c:v>
                </c:pt>
                <c:pt idx="19">
                  <c:v>1.27</c:v>
                </c:pt>
                <c:pt idx="20">
                  <c:v>5.42</c:v>
                </c:pt>
                <c:pt idx="21">
                  <c:v>10.59</c:v>
                </c:pt>
                <c:pt idx="22">
                  <c:v>7</c:v>
                </c:pt>
                <c:pt idx="23">
                  <c:v>7.04</c:v>
                </c:pt>
                <c:pt idx="24">
                  <c:v>6.57</c:v>
                </c:pt>
                <c:pt idx="25">
                  <c:v>13.27</c:v>
                </c:pt>
                <c:pt idx="26">
                  <c:v>6.22</c:v>
                </c:pt>
                <c:pt idx="27">
                  <c:v>10.56</c:v>
                </c:pt>
                <c:pt idx="28">
                  <c:v>17.38</c:v>
                </c:pt>
              </c:numCache>
            </c:numRef>
          </c:yVal>
          <c:smooth val="0"/>
        </c:ser>
        <c:dLbls>
          <c:showLegendKey val="0"/>
          <c:showVal val="0"/>
          <c:showCatName val="0"/>
          <c:showSerName val="0"/>
          <c:showPercent val="0"/>
          <c:showBubbleSize val="0"/>
        </c:dLbls>
        <c:axId val="339382640"/>
        <c:axId val="339383200"/>
      </c:scatterChart>
      <c:valAx>
        <c:axId val="339382640"/>
        <c:scaling>
          <c:orientation val="minMax"/>
        </c:scaling>
        <c:delete val="0"/>
        <c:axPos val="b"/>
        <c:title>
          <c:tx>
            <c:rich>
              <a:bodyPr/>
              <a:lstStyle/>
              <a:p>
                <a:pPr>
                  <a:defRPr sz="925" b="1" i="0" u="none" strike="noStrike" baseline="0">
                    <a:solidFill>
                      <a:srgbClr val="000000"/>
                    </a:solidFill>
                    <a:latin typeface="Arial"/>
                    <a:ea typeface="Arial"/>
                    <a:cs typeface="Arial"/>
                  </a:defRPr>
                </a:pPr>
                <a:r>
                  <a:rPr lang="en-US"/>
                  <a:t>Tibia Length (cm)</a:t>
                </a:r>
              </a:p>
            </c:rich>
          </c:tx>
          <c:layout>
            <c:manualLayout>
              <c:xMode val="edge"/>
              <c:yMode val="edge"/>
              <c:x val="0.45104306406143674"/>
              <c:y val="0.88510811148606416"/>
            </c:manualLayout>
          </c:layout>
          <c:overlay val="0"/>
          <c:spPr>
            <a:noFill/>
            <a:ln w="25400">
              <a:noFill/>
            </a:ln>
          </c:spPr>
        </c:title>
        <c:numFmt formatCode="General" sourceLinked="0"/>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339383200"/>
        <c:crosses val="autoZero"/>
        <c:crossBetween val="midCat"/>
      </c:valAx>
      <c:valAx>
        <c:axId val="339383200"/>
        <c:scaling>
          <c:orientation val="minMax"/>
          <c:max val="20"/>
          <c:min val="0"/>
        </c:scaling>
        <c:delete val="0"/>
        <c:axPos val="l"/>
        <c:majorGridlines>
          <c:spPr>
            <a:ln w="3175">
              <a:solidFill>
                <a:srgbClr val="000000"/>
              </a:solidFill>
              <a:prstDash val="solid"/>
            </a:ln>
          </c:spPr>
        </c:majorGridlines>
        <c:title>
          <c:tx>
            <c:rich>
              <a:bodyPr/>
              <a:lstStyle/>
              <a:p>
                <a:pPr>
                  <a:defRPr sz="925" b="1" i="0" u="none" strike="noStrike" baseline="0">
                    <a:solidFill>
                      <a:srgbClr val="000000"/>
                    </a:solidFill>
                    <a:latin typeface="Arial"/>
                    <a:ea typeface="Arial"/>
                    <a:cs typeface="Arial"/>
                  </a:defRPr>
                </a:pPr>
                <a:r>
                  <a:rPr lang="en-US"/>
                  <a:t>Medullary Cavity Area (cm</a:t>
                </a:r>
                <a:r>
                  <a:rPr lang="en-US" baseline="30000"/>
                  <a:t>2</a:t>
                </a:r>
                <a:r>
                  <a:rPr lang="en-US"/>
                  <a:t>)</a:t>
                </a:r>
              </a:p>
            </c:rich>
          </c:tx>
          <c:layout>
            <c:manualLayout>
              <c:xMode val="edge"/>
              <c:yMode val="edge"/>
              <c:x val="2.2695743279003706E-2"/>
              <c:y val="0.29585239530518626"/>
            </c:manualLayout>
          </c:layout>
          <c:overlay val="0"/>
          <c:spPr>
            <a:noFill/>
            <a:ln w="25400">
              <a:noFill/>
            </a:ln>
          </c:spPr>
        </c:title>
        <c:numFmt formatCode="General" sourceLinked="0"/>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339382640"/>
        <c:crosses val="autoZero"/>
        <c:crossBetween val="midCat"/>
      </c:valAx>
      <c:spPr>
        <a:noFill/>
        <a:ln w="25400">
          <a:noFill/>
        </a:ln>
      </c:spPr>
    </c:plotArea>
    <c:plotVisOnly val="1"/>
    <c:dispBlanksAs val="gap"/>
    <c:showDLblsOverMax val="0"/>
  </c:chart>
  <c:spPr>
    <a:solidFill>
      <a:srgbClr val="FFFFFF"/>
    </a:solidFill>
    <a:ln w="3175">
      <a:solidFill>
        <a:srgbClr val="000000"/>
      </a:solidFill>
      <a:prstDash val="solid"/>
    </a:ln>
  </c:spPr>
  <c:txPr>
    <a:bodyPr/>
    <a:lstStyle/>
    <a:p>
      <a:pPr>
        <a:defRPr sz="925" b="0" i="0" u="none" strike="noStrike" baseline="0">
          <a:solidFill>
            <a:srgbClr val="000000"/>
          </a:solidFill>
          <a:latin typeface="Arial"/>
          <a:ea typeface="Arial"/>
          <a:cs typeface="Arial"/>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925" b="1" i="0" u="none" strike="noStrike" baseline="0">
                <a:solidFill>
                  <a:srgbClr val="000000"/>
                </a:solidFill>
                <a:latin typeface="Arial"/>
                <a:ea typeface="Arial"/>
                <a:cs typeface="Arial"/>
              </a:defRPr>
            </a:pPr>
            <a:r>
              <a:rPr lang="en-US"/>
              <a:t>Relationship Between Tibia Length and Cortical Area (n = 40)</a:t>
            </a:r>
          </a:p>
        </c:rich>
      </c:tx>
      <c:layout>
        <c:manualLayout>
          <c:xMode val="edge"/>
          <c:yMode val="edge"/>
          <c:x val="0.27768841651995146"/>
          <c:y val="3.8297973170020413E-2"/>
        </c:manualLayout>
      </c:layout>
      <c:overlay val="0"/>
      <c:spPr>
        <a:noFill/>
        <a:ln w="25400">
          <a:noFill/>
        </a:ln>
      </c:spPr>
    </c:title>
    <c:autoTitleDeleted val="0"/>
    <c:plotArea>
      <c:layout>
        <c:manualLayout>
          <c:layoutTarget val="inner"/>
          <c:xMode val="edge"/>
          <c:yMode val="edge"/>
          <c:x val="0.1056242841546159"/>
          <c:y val="0.3298622296218181"/>
          <c:w val="0.85048124903716704"/>
          <c:h val="0.44097371749443054"/>
        </c:manualLayout>
      </c:layout>
      <c:scatterChart>
        <c:scatterStyle val="lineMarker"/>
        <c:varyColors val="0"/>
        <c:ser>
          <c:idx val="0"/>
          <c:order val="0"/>
          <c:tx>
            <c:v>Relationship Between Tibia Length and Transverse Area</c:v>
          </c:tx>
          <c:spPr>
            <a:ln w="19050">
              <a:noFill/>
            </a:ln>
          </c:spPr>
          <c:marker>
            <c:symbol val="diamond"/>
            <c:size val="5"/>
            <c:spPr>
              <a:solidFill>
                <a:srgbClr val="000080"/>
              </a:solidFill>
              <a:ln>
                <a:solidFill>
                  <a:srgbClr val="000080"/>
                </a:solidFill>
                <a:prstDash val="solid"/>
              </a:ln>
            </c:spPr>
          </c:marker>
          <c:trendline>
            <c:spPr>
              <a:ln w="25400">
                <a:solidFill>
                  <a:srgbClr val="000000"/>
                </a:solidFill>
                <a:prstDash val="solid"/>
              </a:ln>
            </c:spPr>
            <c:trendlineType val="exp"/>
            <c:dispRSqr val="1"/>
            <c:dispEq val="1"/>
            <c:trendlineLbl>
              <c:layout>
                <c:manualLayout>
                  <c:x val="0.15901582331529029"/>
                  <c:y val="-0.29651759507717129"/>
                </c:manualLayout>
              </c:layout>
              <c:numFmt formatCode="General" sourceLinked="0"/>
              <c:spPr>
                <a:noFill/>
                <a:ln w="25400">
                  <a:noFill/>
                </a:ln>
              </c:spPr>
              <c:txPr>
                <a:bodyPr/>
                <a:lstStyle/>
                <a:p>
                  <a:pPr>
                    <a:defRPr sz="925" b="0" i="0" u="none" strike="noStrike" baseline="0">
                      <a:solidFill>
                        <a:srgbClr val="000000"/>
                      </a:solidFill>
                      <a:latin typeface="Arial"/>
                      <a:ea typeface="Arial"/>
                      <a:cs typeface="Arial"/>
                    </a:defRPr>
                  </a:pPr>
                  <a:endParaRPr lang="en-US"/>
                </a:p>
              </c:txPr>
            </c:trendlineLbl>
          </c:trendline>
          <c:xVal>
            <c:numRef>
              <c:f>('Supplementary Table 7'!$C$3:$C$35,'Supplementary Table 7'!$C$36,'Supplementary Table 7'!$C$37:$C$38,'Supplementary Table 7'!$C$39:$C$42)</c:f>
              <c:numCache>
                <c:formatCode>0.0</c:formatCode>
                <c:ptCount val="40"/>
                <c:pt idx="0">
                  <c:v>35</c:v>
                </c:pt>
                <c:pt idx="1">
                  <c:v>41.5</c:v>
                </c:pt>
                <c:pt idx="2">
                  <c:v>33.799999999999997</c:v>
                </c:pt>
                <c:pt idx="3">
                  <c:v>39.700000000000003</c:v>
                </c:pt>
                <c:pt idx="4">
                  <c:v>39.4</c:v>
                </c:pt>
                <c:pt idx="5">
                  <c:v>46</c:v>
                </c:pt>
                <c:pt idx="6">
                  <c:v>37.200000000000003</c:v>
                </c:pt>
                <c:pt idx="7">
                  <c:v>36.200000000000003</c:v>
                </c:pt>
                <c:pt idx="8">
                  <c:v>38.4</c:v>
                </c:pt>
                <c:pt idx="9">
                  <c:v>42.1</c:v>
                </c:pt>
                <c:pt idx="10">
                  <c:v>43.5</c:v>
                </c:pt>
                <c:pt idx="11">
                  <c:v>41.2</c:v>
                </c:pt>
                <c:pt idx="12">
                  <c:v>43.1</c:v>
                </c:pt>
                <c:pt idx="13">
                  <c:v>44.3</c:v>
                </c:pt>
                <c:pt idx="14">
                  <c:v>46.4</c:v>
                </c:pt>
                <c:pt idx="15">
                  <c:v>44</c:v>
                </c:pt>
                <c:pt idx="16">
                  <c:v>45.2</c:v>
                </c:pt>
                <c:pt idx="17">
                  <c:v>43.3</c:v>
                </c:pt>
                <c:pt idx="18">
                  <c:v>43.8</c:v>
                </c:pt>
                <c:pt idx="19">
                  <c:v>43.4</c:v>
                </c:pt>
                <c:pt idx="20">
                  <c:v>46.4</c:v>
                </c:pt>
                <c:pt idx="21">
                  <c:v>48.5</c:v>
                </c:pt>
                <c:pt idx="22">
                  <c:v>45.4</c:v>
                </c:pt>
                <c:pt idx="23">
                  <c:v>48.8</c:v>
                </c:pt>
                <c:pt idx="24">
                  <c:v>48.1</c:v>
                </c:pt>
                <c:pt idx="25">
                  <c:v>47.4</c:v>
                </c:pt>
                <c:pt idx="26">
                  <c:v>48</c:v>
                </c:pt>
                <c:pt idx="27">
                  <c:v>47.2</c:v>
                </c:pt>
                <c:pt idx="28">
                  <c:v>48.5</c:v>
                </c:pt>
                <c:pt idx="29">
                  <c:v>56</c:v>
                </c:pt>
                <c:pt idx="30">
                  <c:v>63</c:v>
                </c:pt>
                <c:pt idx="31">
                  <c:v>69</c:v>
                </c:pt>
                <c:pt idx="32">
                  <c:v>78</c:v>
                </c:pt>
                <c:pt idx="33">
                  <c:v>88</c:v>
                </c:pt>
                <c:pt idx="34">
                  <c:v>83</c:v>
                </c:pt>
                <c:pt idx="35">
                  <c:v>87.5</c:v>
                </c:pt>
                <c:pt idx="36">
                  <c:v>88</c:v>
                </c:pt>
                <c:pt idx="37">
                  <c:v>87.5</c:v>
                </c:pt>
                <c:pt idx="38">
                  <c:v>99.7</c:v>
                </c:pt>
                <c:pt idx="39">
                  <c:v>93</c:v>
                </c:pt>
              </c:numCache>
            </c:numRef>
          </c:xVal>
          <c:yVal>
            <c:numRef>
              <c:f>('Supplementary Table 7'!$B$3:$B$35,'Supplementary Table 7'!$B$36,'Supplementary Table 7'!$B$37:$B$38,'Supplementary Table 7'!$B$39:$B$42)</c:f>
              <c:numCache>
                <c:formatCode>0.0</c:formatCode>
                <c:ptCount val="40"/>
                <c:pt idx="0">
                  <c:v>11.41</c:v>
                </c:pt>
                <c:pt idx="1">
                  <c:v>11.59</c:v>
                </c:pt>
                <c:pt idx="2">
                  <c:v>13.25</c:v>
                </c:pt>
                <c:pt idx="3">
                  <c:v>14.15</c:v>
                </c:pt>
                <c:pt idx="4">
                  <c:v>14.12</c:v>
                </c:pt>
                <c:pt idx="5">
                  <c:v>14.6</c:v>
                </c:pt>
                <c:pt idx="6">
                  <c:v>14.23</c:v>
                </c:pt>
                <c:pt idx="7">
                  <c:v>13.43</c:v>
                </c:pt>
                <c:pt idx="8">
                  <c:v>12.57</c:v>
                </c:pt>
                <c:pt idx="9">
                  <c:v>14.69</c:v>
                </c:pt>
                <c:pt idx="10">
                  <c:v>12.94</c:v>
                </c:pt>
                <c:pt idx="11">
                  <c:v>15.74</c:v>
                </c:pt>
                <c:pt idx="12">
                  <c:v>14.91</c:v>
                </c:pt>
                <c:pt idx="13">
                  <c:v>16.79</c:v>
                </c:pt>
                <c:pt idx="14">
                  <c:v>17.59</c:v>
                </c:pt>
                <c:pt idx="15">
                  <c:v>15.97</c:v>
                </c:pt>
                <c:pt idx="16">
                  <c:v>13.29</c:v>
                </c:pt>
                <c:pt idx="17">
                  <c:v>18.13</c:v>
                </c:pt>
                <c:pt idx="18">
                  <c:v>15.54</c:v>
                </c:pt>
                <c:pt idx="19">
                  <c:v>16.079999999999998</c:v>
                </c:pt>
                <c:pt idx="20">
                  <c:v>14.57</c:v>
                </c:pt>
                <c:pt idx="21">
                  <c:v>17.559999999999999</c:v>
                </c:pt>
                <c:pt idx="22">
                  <c:v>16.98</c:v>
                </c:pt>
                <c:pt idx="23">
                  <c:v>17.239999999999998</c:v>
                </c:pt>
                <c:pt idx="24">
                  <c:v>17.989999999999998</c:v>
                </c:pt>
                <c:pt idx="25">
                  <c:v>17.46</c:v>
                </c:pt>
                <c:pt idx="26">
                  <c:v>19</c:v>
                </c:pt>
                <c:pt idx="27">
                  <c:v>16.36</c:v>
                </c:pt>
                <c:pt idx="28">
                  <c:v>15.57</c:v>
                </c:pt>
                <c:pt idx="29">
                  <c:v>32.04</c:v>
                </c:pt>
                <c:pt idx="30">
                  <c:v>31.65</c:v>
                </c:pt>
                <c:pt idx="31">
                  <c:v>29.06</c:v>
                </c:pt>
                <c:pt idx="32">
                  <c:v>54.47</c:v>
                </c:pt>
                <c:pt idx="33">
                  <c:v>60.33</c:v>
                </c:pt>
                <c:pt idx="34">
                  <c:v>62.2</c:v>
                </c:pt>
                <c:pt idx="35">
                  <c:v>67.73</c:v>
                </c:pt>
                <c:pt idx="36">
                  <c:v>76.31</c:v>
                </c:pt>
                <c:pt idx="37">
                  <c:v>90.24</c:v>
                </c:pt>
                <c:pt idx="38">
                  <c:v>86.84</c:v>
                </c:pt>
                <c:pt idx="39">
                  <c:v>77.03</c:v>
                </c:pt>
              </c:numCache>
            </c:numRef>
          </c:yVal>
          <c:smooth val="0"/>
        </c:ser>
        <c:dLbls>
          <c:showLegendKey val="0"/>
          <c:showVal val="0"/>
          <c:showCatName val="0"/>
          <c:showSerName val="0"/>
          <c:showPercent val="0"/>
          <c:showBubbleSize val="0"/>
        </c:dLbls>
        <c:axId val="339385440"/>
        <c:axId val="347650480"/>
      </c:scatterChart>
      <c:valAx>
        <c:axId val="339385440"/>
        <c:scaling>
          <c:orientation val="minMax"/>
        </c:scaling>
        <c:delete val="0"/>
        <c:axPos val="b"/>
        <c:title>
          <c:tx>
            <c:rich>
              <a:bodyPr/>
              <a:lstStyle/>
              <a:p>
                <a:pPr>
                  <a:defRPr sz="925" b="1" i="0" u="none" strike="noStrike" baseline="0">
                    <a:solidFill>
                      <a:srgbClr val="000000"/>
                    </a:solidFill>
                    <a:latin typeface="Arial"/>
                    <a:ea typeface="Arial"/>
                    <a:cs typeface="Arial"/>
                  </a:defRPr>
                </a:pPr>
                <a:r>
                  <a:rPr lang="en-US"/>
                  <a:t>Tibia Length (cm)</a:t>
                </a:r>
              </a:p>
            </c:rich>
          </c:tx>
          <c:layout>
            <c:manualLayout>
              <c:xMode val="edge"/>
              <c:yMode val="edge"/>
              <c:x val="0.45906872752017108"/>
              <c:y val="0.88510790317876931"/>
            </c:manualLayout>
          </c:layout>
          <c:overlay val="0"/>
          <c:spPr>
            <a:noFill/>
            <a:ln w="25400">
              <a:noFill/>
            </a:ln>
          </c:spPr>
        </c:title>
        <c:numFmt formatCode="0.0" sourceLinked="1"/>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347650480"/>
        <c:crosses val="autoZero"/>
        <c:crossBetween val="midCat"/>
      </c:valAx>
      <c:valAx>
        <c:axId val="347650480"/>
        <c:scaling>
          <c:logBase val="10"/>
          <c:orientation val="minMax"/>
        </c:scaling>
        <c:delete val="0"/>
        <c:axPos val="l"/>
        <c:majorGridlines>
          <c:spPr>
            <a:ln w="3175">
              <a:solidFill>
                <a:srgbClr val="000000"/>
              </a:solidFill>
              <a:prstDash val="solid"/>
            </a:ln>
          </c:spPr>
        </c:majorGridlines>
        <c:title>
          <c:tx>
            <c:rich>
              <a:bodyPr/>
              <a:lstStyle/>
              <a:p>
                <a:pPr>
                  <a:defRPr sz="925" b="1" i="0" u="none" strike="noStrike" baseline="0">
                    <a:solidFill>
                      <a:srgbClr val="000000"/>
                    </a:solidFill>
                    <a:latin typeface="Arial"/>
                    <a:ea typeface="Arial"/>
                    <a:cs typeface="Arial"/>
                  </a:defRPr>
                </a:pPr>
                <a:r>
                  <a:rPr lang="en-US"/>
                  <a:t>Cortical Area (cm</a:t>
                </a:r>
                <a:r>
                  <a:rPr lang="en-US" baseline="30000"/>
                  <a:t>2</a:t>
                </a:r>
                <a:r>
                  <a:rPr lang="en-US"/>
                  <a:t>)</a:t>
                </a:r>
              </a:p>
            </c:rich>
          </c:tx>
          <c:layout>
            <c:manualLayout>
              <c:xMode val="edge"/>
              <c:yMode val="edge"/>
              <c:x val="1.537978534576182E-2"/>
              <c:y val="0.31489427323068292"/>
            </c:manualLayout>
          </c:layout>
          <c:overlay val="0"/>
          <c:spPr>
            <a:noFill/>
            <a:ln w="25400">
              <a:noFill/>
            </a:ln>
          </c:spPr>
        </c:title>
        <c:numFmt formatCode="0.0" sourceLinked="1"/>
        <c:majorTickMark val="out"/>
        <c:minorTickMark val="none"/>
        <c:tickLblPos val="nextTo"/>
        <c:spPr>
          <a:ln w="3175">
            <a:solidFill>
              <a:srgbClr val="000000"/>
            </a:solidFill>
            <a:prstDash val="solid"/>
          </a:ln>
        </c:spPr>
        <c:txPr>
          <a:bodyPr rot="0" vert="horz"/>
          <a:lstStyle/>
          <a:p>
            <a:pPr>
              <a:defRPr sz="925" b="0" i="0" u="none" strike="noStrike" baseline="0">
                <a:solidFill>
                  <a:srgbClr val="000000"/>
                </a:solidFill>
                <a:latin typeface="Arial"/>
                <a:ea typeface="Arial"/>
                <a:cs typeface="Arial"/>
              </a:defRPr>
            </a:pPr>
            <a:endParaRPr lang="en-US"/>
          </a:p>
        </c:txPr>
        <c:crossAx val="339385440"/>
        <c:crosses val="autoZero"/>
        <c:crossBetween val="midCat"/>
      </c:valAx>
      <c:spPr>
        <a:noFill/>
        <a:ln w="25400">
          <a:noFill/>
        </a:ln>
      </c:spPr>
    </c:plotArea>
    <c:plotVisOnly val="1"/>
    <c:dispBlanksAs val="gap"/>
    <c:showDLblsOverMax val="0"/>
  </c:chart>
  <c:spPr>
    <a:solidFill>
      <a:srgbClr val="FFFFFF"/>
    </a:solidFill>
    <a:ln w="3175">
      <a:solidFill>
        <a:srgbClr val="000000"/>
      </a:solidFill>
      <a:prstDash val="solid"/>
    </a:ln>
  </c:spPr>
  <c:txPr>
    <a:bodyPr/>
    <a:lstStyle/>
    <a:p>
      <a:pPr>
        <a:defRPr sz="925" b="0" i="0" u="none" strike="noStrike" baseline="0">
          <a:solidFill>
            <a:srgbClr val="000000"/>
          </a:solidFill>
          <a:latin typeface="Arial"/>
          <a:ea typeface="Arial"/>
          <a:cs typeface="Arial"/>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7</TotalTime>
  <Pages>19</Pages>
  <Words>2011</Words>
  <Characters>11465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dc:creator>
  <cp:keywords/>
  <dc:description/>
  <cp:lastModifiedBy>Holly</cp:lastModifiedBy>
  <cp:revision>4</cp:revision>
  <dcterms:created xsi:type="dcterms:W3CDTF">2015-02-03T18:42:00Z</dcterms:created>
  <dcterms:modified xsi:type="dcterms:W3CDTF">2015-02-03T18:50:00Z</dcterms:modified>
</cp:coreProperties>
</file>