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"Beyond the oldest known individual: sample-size-aware reconstruction of mortality in extinct taxa" for consideration as an article.</w:t>
      </w:r>
    </w:p>
    <w:p>
      <w:r>
        <w:t>The paper asks a question the palaeobiological literature has lived with for a century: what does fossil age-at-death evidence actually license us to say about the mortality of extinct species? Our answer is a generative framework that separates the latent mortality hazard from assemblage formation, age-dependent preservation and recovery, and age-measurement error, together with a simulation-validated map of which mortality summaries survive fossilization.</w:t>
      </w:r>
    </w:p>
    <w:p>
      <w:r>
        <w:t>Three contributions are, to our knowledge, new: (i) an order-statistic treatment of the "oldest known specimen" that turns maxima into a likelihood term rather than a headline; (ii) a joint likelihood over individual ages, grouped tables, and max-only reports that avoids double counting; and (iii) a recoverability map built by degrading 45 extant mammal life tables into fossil-like samples. Demonstrations on Maiasaura, Psittacosaurus, Albertosaurus, and mammaliaform cementum series are reported as scenario ranges, and where the data cannot support an estimate we say so explicitly.</w:t>
      </w:r>
    </w:p>
    <w:p>
      <w:r>
        <w:t>All raw inputs, code, seeds, and generated outputs are included for reproduction; numbers in the manuscript are computed from the supplied result files, not transcribed.</w:t>
      </w:r>
    </w:p>
    <w:p>
      <w:r>
        <w:t>Yours faithfully,</w:t>
      </w:r>
    </w:p>
    <w:p>
      <w:r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