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Editors,</w:t>
      </w:r>
    </w:p>
    <w:p>
      <w:r>
        <w:t>We submit "Beyond the oldest known individual: reconstructing mortality distributions from fossil age-at-death evidence" for consideration in Paleobiology.</w:t>
      </w:r>
    </w:p>
    <w:p>
      <w:r>
        <w:t>The paper addresses a palaeobiological problem the field has lived with for a century: fossil age-at-death evidence — histologically aged specimens, assembled life tables, and "oldest known individual" reports — does not directly identify a population mortality distribution. Our contribution is methodological but aimed squarely at palaeobiologists: a generative framework that separates the latent mortality hazard from the assemblage-formation mechanism (attritional versus catastrophic standing crop), from age-dependent preservation and recovery, and from age-estimation error, and that treats a reported maximum as the sample-size-conditioned order statistic it is.</w:t>
      </w:r>
    </w:p>
    <w:p>
      <w:r>
        <w:t>The principal validation is the extant-to-fossil degradation experiment: 45 empirically known mammal life tables are degraded into fossil-like samples under a systematic grid of sample size, observation bias, age resolution, assemblage mechanism, and report type, producing an explicit map of which mortality summaries remain recoverable and which are unidentifiable. Fossil examples — Maiasaura, Psittacosaurus, Albertosaurus, and mammaliaform cementum series — appear strictly as proofs of concept and are reported as scenario ranges; where the data cannot support an estimate, the manuscript says so rather than manufacturing precision.</w:t>
      </w:r>
    </w:p>
    <w:p>
      <w:r>
        <w:t>We believe this fits Paleobiology because its questions and its constraints are the ones its readers face: what can sparse, filtered, and maximum-only fossil age evidence defensibly support. The manuscript deliberately does not equate an observed maximum with a species-level maximum lifespan, and proposes standardized reporting (E[M_50], E[M_100]) to make "oldest specimen" claims comparable across samples.</w:t>
      </w:r>
    </w:p>
    <w:p>
      <w:r>
        <w:t>All raw inputs with provenance, code, seeds, and generated outputs are included as a data-and-code bundle for reproduction; every reported number is regenerated from the supplied result files. We intend to deposit the data/code package in Dryad on acceptance, per the journal’s arrangement. The manuscript is original, is not under consideration elsewhere, and has not been published previously.</w:t>
      </w:r>
    </w:p>
    <w:p>
      <w:r>
        <w:t>Yours faithfully,</w:t>
      </w:r>
    </w:p>
    <w:p>
      <w:r>
        <w:t>The authors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