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Declarations</w:t>
      </w:r>
    </w:p>
    <w:p>
      <w:r>
        <w:t>Ethics approval and consent to participate: Pending. Written informed consent will be obtained before randomisation.</w:t>
      </w:r>
    </w:p>
    <w:p>
      <w:r>
        <w:t>Trial registration: [jRCT/UMIN identifier pending; registration before first participant].</w:t>
      </w:r>
    </w:p>
    <w:p>
      <w:r>
        <w:t>Consent for publication: Not applicable.</w:t>
      </w:r>
    </w:p>
    <w:p>
      <w:r>
        <w:t>Availability of data and materials: No prospective data exist. Code and explicitly synthetic validation data accompany the protocol.</w:t>
      </w:r>
    </w:p>
    <w:p>
      <w:r>
        <w:t>Competing interests: [Each author must complete.]</w:t>
      </w:r>
    </w:p>
    <w:p>
      <w:r>
        <w:t>Funding and sponsor: [Must be confirmed.]</w:t>
      </w:r>
    </w:p>
    <w:p>
      <w:r>
        <w:t>Authors’ contributions: [Complete using CRediT roles.]</w:t>
      </w:r>
    </w:p>
    <w:p>
      <w:r>
        <w:t>Generative-AI disclosure: Devin (Cognition AI) assisted literature organisation, drafting, code generation, document production, and consistency checks. Authors verified sources, analyses, and text and retain full responsibility.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Flurbiprofen Axetil Before Protamine to Prevent Clinically Important Hypotension in Adult Non-CABG On-Pump Cardiac Surgery: Protocol for the Multicentre, Randomised, Double-Blind, Placebo-Controlled IF-U-PLEASE II Trial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