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Supplementary protocol materials</w:t>
      </w:r>
    </w:p>
    <w:p>
      <w:pPr>
        <w:pStyle w:val="Heading2"/>
        <w:spacing w:before="240" w:after="120"/>
      </w:pPr>
      <w:r>
        <w:t>Hemodynamic Measurement Spec</w:t>
      </w:r>
    </w:p>
    <w:p>
      <w:pPr>
        <w:pStyle w:val="ListBullet"/>
      </w:pPr>
      <w:r>
        <w:t>`t=0` is the timestamp at which the first protamine infusion starts.</w:t>
      </w:r>
    </w:p>
    <w:p>
      <w:pPr>
        <w:pStyle w:val="ListBullet"/>
      </w:pPr>
      <w:r>
        <w:t>Capture the arterial-pressure waveform at ≥1 Hz from at least −5 through +30 minutes relative to t=0.</w:t>
      </w:r>
    </w:p>
    <w:p>
      <w:pPr>
        <w:pStyle w:val="ListBullet"/>
      </w:pPr>
      <w:r>
        <w:t>Record monitor time synchronisation, transducer level/zero confirmation, line site, and monitor/export system.</w:t>
      </w:r>
    </w:p>
    <w:p>
      <w:pPr>
        <w:pStyle w:val="ListBullet"/>
      </w:pPr>
      <w:r>
        <w:t>The stabilised baseline MAP is the median of valid MAP observations from −5 to −1 minutes.</w:t>
      </w:r>
    </w:p>
    <w:p>
      <w:r>
        <w:t>Compute a rolling 60-second median across the 0–30-minute window. A window is evaluable when at least 45 seconds are valid. The primary event occurs if at least one evaluable window has median MAP ≤80% of baseline. Exact equality qualifies.</w:t>
      </w:r>
    </w:p>
    <w:p>
      <w:pPr>
        <w:pStyle w:val="ListBullet"/>
      </w:pPr>
      <w:r>
        <w:t>MAP &lt;65 mmHg: at least one evaluable 60-second window below 65 mmHg.</w:t>
      </w:r>
    </w:p>
    <w:p>
      <w:pPr>
        <w:pStyle w:val="ListBullet"/>
      </w:pPr>
      <w:r>
        <w:t>Nadir MAP: minimum valid rolling 60-second median.</w:t>
      </w:r>
    </w:p>
    <w:p>
      <w:pPr>
        <w:pStyle w:val="ListBullet"/>
      </w:pPr>
      <w:r>
        <w:t>Relative maximum decline: `(baseline MAP − nadir MAP) / baseline MAP`.</w:t>
      </w:r>
    </w:p>
    <w:p>
      <w:pPr>
        <w:pStyle w:val="ListBullet"/>
      </w:pPr>
      <w:r>
        <w:t>Time under 65 mmHg: sum of valid seconds below 65, divided by 60.</w:t>
      </w:r>
    </w:p>
    <w:p>
      <w:pPr>
        <w:pStyle w:val="ListBullet"/>
      </w:pPr>
      <w:r>
        <w:t>Area under 65 mmHg: integral of `max(65 − MAP, 0)` over valid time.</w:t>
      </w:r>
    </w:p>
    <w:p>
      <w:pPr>
        <w:pStyle w:val="ListBullet"/>
      </w:pPr>
      <w:r>
        <w:t>Time-weighted MAP: area under the observed MAP curve divided by valid observation duration.</w:t>
      </w:r>
    </w:p>
    <w:p>
      <w:r>
        <w:t>Record every vasopressor/inotrope bolus and infusion-rate change with exact time, drug, dose, and route from −10 through +30 minutes. Record fluids, pacing, cardioversion, return to CPB, mechanical support, and surgical events. The primary treatment-policy estimand uses observed MAP after rescue; a prespecified composite counts qualifying rescue as an event.</w:t>
      </w:r>
    </w:p>
    <w:p>
      <w:pPr>
        <w:pStyle w:val="Heading2"/>
        <w:spacing w:before="240" w:after="120"/>
      </w:pPr>
      <w:r>
        <w:t>Artifact Handling Rules</w:t>
      </w:r>
    </w:p>
    <w:p>
      <w:r>
        <w:t>Mark a second invalid if MAP is physiologically impossible (&lt;20 or &gt;180 mmHg), the signal is absent, the arterial line is documented as disconnected/occluded, or the monitor identifies a flush/calibration event. Automated flags do not replace blinded adjudication.</w:t>
      </w:r>
    </w:p>
    <w:p>
      <w:pPr>
        <w:pStyle w:val="ListBullet"/>
      </w:pPr>
      <w:r>
        <w:t>Exclude square-wave flush periods from five seconds before the flush until the waveform returns to interpretable pulsatility.</w:t>
      </w:r>
    </w:p>
    <w:p>
      <w:pPr>
        <w:pStyle w:val="ListBullet"/>
      </w:pPr>
      <w:r>
        <w:t>Exclude documented blood sampling, line opening, transducer zeroing, and reconnection.</w:t>
      </w:r>
    </w:p>
    <w:p>
      <w:pPr>
        <w:pStyle w:val="ListBullet"/>
      </w:pPr>
      <w:r>
        <w:t>Exclude clearly overdamped/underdamped periods when the waveform is nonphysiologic and corroborated by the site record or blinded central review.</w:t>
      </w:r>
    </w:p>
    <w:p>
      <w:pPr>
        <w:pStyle w:val="ListBullet"/>
      </w:pPr>
      <w:r>
        <w:t>Do not classify a single-beat spike or trough as hypotension. The primary endpoint uses rolling 60-second medians and requires ≥45 valid seconds.</w:t>
      </w:r>
    </w:p>
    <w:p>
      <w:pPr>
        <w:pStyle w:val="ListBullet"/>
      </w:pPr>
      <w:r>
        <w:t>Preserve true arrhythmia-associated pressure variation unless the waveform itself is uninterpretable.</w:t>
      </w:r>
    </w:p>
    <w:p>
      <w:r>
        <w:t>Do not censor values after rescue vasopressor, fluid, pacing, cardioversion, or return to CPB in the primary treatment-policy analysis. Record interventions precisely. A composite sensitivity endpoint counts protocol-defined rescue, and supportive analyses will describe MAP before rescue.</w:t>
      </w:r>
    </w:p>
    <w:p>
      <w:r>
        <w:t>The primary endpoint is non-evaluable when baseline has &lt;180 valid seconds or the post-protamine window has &lt;80% valid seconds after documented artifact exclusion. Do not impute waveform seconds for the primary derivation. Primary ITT analysis will use multiple imputation for a missing binary endpoint only if missingness exceeds 1%; best/worst-case bounds and complete-case analyses will be reported. Death or rescue mechanical support before endpoint ascertainment counts as an event.</w:t>
      </w:r>
    </w:p>
    <w:p>
      <w:pPr>
        <w:pStyle w:val="Heading2"/>
        <w:spacing w:before="240" w:after="120"/>
      </w:pPr>
      <w:r>
        <w:t>Randomization Spec</w:t>
      </w:r>
    </w:p>
    <w:p>
      <w:pPr>
        <w:pStyle w:val="ListBullet"/>
      </w:pPr>
      <w:r>
        <w:t>Unit: participant.</w:t>
      </w:r>
    </w:p>
    <w:p>
      <w:pPr>
        <w:pStyle w:val="ListBullet"/>
      </w:pPr>
      <w:r>
        <w:t>Allocation: 1:1 FPA versus placebo.</w:t>
      </w:r>
    </w:p>
    <w:p>
      <w:pPr>
        <w:pStyle w:val="ListBullet"/>
      </w:pPr>
      <w:r>
        <w:t>Sequence: validated computer-generated sequence with randomly permuted block sizes 4, 6, and 8.</w:t>
      </w:r>
    </w:p>
    <w:p>
      <w:pPr>
        <w:pStyle w:val="ListBullet"/>
      </w:pPr>
      <w:r>
        <w:t>Strata: participating site and preoperative exposure to protamine-containing insulin or documented prior protamine exposure (yes/no).</w:t>
      </w:r>
    </w:p>
    <w:p>
      <w:pPr>
        <w:pStyle w:val="ListBullet"/>
      </w:pPr>
      <w:r>
        <w:t>Concealment: central web-based allocation or equivalent independent system; the next assignment must not be visible to enrolling staff.</w:t>
      </w:r>
    </w:p>
    <w:p>
      <w:pPr>
        <w:pStyle w:val="ListBullet"/>
      </w:pPr>
      <w:r>
        <w:t>Access: sequence accessible only to the independent statistician/system administrator and unblinded pharmacy/preparation personnel.</w:t>
      </w:r>
    </w:p>
    <w:p>
      <w:pPr>
        <w:pStyle w:val="ListBullet"/>
      </w:pPr>
      <w:r>
        <w:t>Audit: retain generation code, seed under restricted access, allocation logs, timestamps, and reason for every override.</w:t>
      </w:r>
    </w:p>
    <w:p>
      <w:pPr>
        <w:pStyle w:val="ListBullet"/>
      </w:pPr>
      <w:r>
        <w:t>Final incomplete blocks are acceptable; recruitment targets are balanced operationally but the analysis does not assume exact equality.</w:t>
      </w:r>
    </w:p>
    <w:p>
      <w:pPr>
        <w:pStyle w:val="Heading2"/>
        <w:spacing w:before="240" w:after="120"/>
      </w:pPr>
      <w:r>
        <w:t>Blinding Spec</w:t>
      </w:r>
    </w:p>
    <w:p>
      <w:r>
        <w:t>FPA 50 mg/5 mL and 5 mL 0.9% saline placebo will be prepared by unblinded pharmacy or independent preparation personnel. Opaque syringes and tubing will be used because visual differences may compromise masking. Study drug will be infused over 5 minutes and completed 15 ± 5 minutes before protamine.</w:t>
      </w:r>
    </w:p>
    <w:p>
      <w:r>
        <w:t>Participants, anaesthesiologists, surgeons, ICU clinicians, outcome assessors, central waveform reviewers, investigators, and statisticians remain masked unless knowledge is essential for immediate care. Preparation staff have no endpoint-assessment role. Allocation guesses and reasons are recorded after the 30-minute endpoint window.</w:t>
      </w:r>
    </w:p>
    <w:p>
      <w:r>
        <w:t>Emergency unblinding is available continuously through the allocation system or independent pharmacy. The treating clinician documents the medical necessity, date/time, person requesting and releasing the code, and resulting action. Unblinding for convenience, routine adverse-event assessment, or data review is prohibited.</w:t>
      </w:r>
    </w:p>
    <w:p>
      <w:pPr>
        <w:pStyle w:val="Heading2"/>
        <w:spacing w:before="240" w:after="120"/>
      </w:pPr>
      <w:r>
        <w:t>Safety Regulatory Review</w:t>
      </w:r>
    </w:p>
    <w:p>
      <w:r>
        <w:t>Ropion is supplied in Japan as flurbiprofen axetil 50 mg/5 mL for postoperative and cancer pain. Administration to prevent protamine-associated hypotension is not an approved indication and is investigational/off-label. Regulatory classification, Clinical Trials Act applicability, insurance/compensation, and required notifications must be confirmed by the Japanese sponsor and ethics/regulatory offices before enrolment.</w:t>
      </w:r>
    </w:p>
    <w:p>
      <w:pPr>
        <w:pStyle w:val="ListBullet"/>
      </w:pPr>
      <w:r>
        <w:t>**Renal:** NSAID-mediated reduction in renal perfusion may precipitate AKI, particularly after CPB. Exclude severe renal disease; record creatinine and urine output; adjudicate KDIGO AKI through POD7/discharge.</w:t>
      </w:r>
    </w:p>
    <w:p>
      <w:pPr>
        <w:pStyle w:val="ListBullet"/>
      </w:pPr>
      <w:r>
        <w:t>**Haemostasis and gastrointestinal:** cyclooxygenase inhibition may impair platelet function or increase bleeding. Exclude active bleeding, clinically important coagulopathy, and prohibited interacting antiplatelet/anticoagulant contexts. Record chest-tube drainage, transfusion, reoperation, and GI bleeding.</w:t>
      </w:r>
    </w:p>
    <w:p>
      <w:pPr>
        <w:pStyle w:val="ListBullet"/>
      </w:pPr>
      <w:r>
        <w:t>**Hypersensitivity/bronchospasm:** exclude FPA/NSAID allergy, aspirin-exacerbated respiratory disease, and prior severe protamine reaction. Resuscitation drugs and equipment must be immediately available.</w:t>
      </w:r>
    </w:p>
    <w:p>
      <w:pPr>
        <w:pStyle w:val="ListBullet"/>
      </w:pPr>
      <w:r>
        <w:t>**Cardiovascular:** international systemic NSAID labels carry thrombotic and CABG warnings. Planned CABG is excluded conservatively; this is an international class-risk precaution, not a claim that the retrieved Japanese FPA label contains an identical CABG prohibition.</w:t>
      </w:r>
    </w:p>
    <w:p>
      <w:pPr>
        <w:pStyle w:val="ListBullet"/>
      </w:pPr>
      <w:r>
        <w:t>**Label restrictions:** exclude active peptic ulcer, severe haematological/hepatic/renal disease, decompensated heart failure or cardiogenic shock, severe uncontrolled hypertension, late pregnancy/pregnancy as locally required, and prohibited interacting medicines. The final Japanese eligibility wording must be approved against the current label because “severe” organ dysfunction requires operational thresholds.</w:t>
      </w:r>
    </w:p>
    <w:p>
      <w:pPr>
        <w:pStyle w:val="ListBullet"/>
      </w:pPr>
      <w:r>
        <w:t>**Protamine:** rapid or excessive dosing can cause hypotension, pulmonary hypertension, allergy, and anticoagulant effects. Follow the locally approved label, prefer residual-heparin titration, and record all dosing/rate deviations.</w:t>
      </w:r>
    </w:p>
    <w:p>
      <w:r>
        <w:t>An independent DSMB will review masked aggregate data after 100 participants and unmasked data after 300 and 600 participants, and ad hoc after any suspected unexpected serious adverse reaction (SUSAR) or death plausibly related to study drug. The DSMB may recommend continue, modify, pause, or terminate for clear excess death, anaphylaxis/bronchospasm, KDIGO stage 2–3 AKI, reoperation for bleeding, or other serious toxicity. No formal efficacy stopping boundary is planned; this avoids an underpowered early efficacy claim.</w:t>
      </w:r>
    </w:p>
    <w:p>
      <w:r>
        <w:t>All AEs are collected from study-drug start through discharge or POD7; SAEs and pregnancies through day 30. Investigators report SAEs promptly to the sponsor and ethics body under applicable law; fatal/life-threatening unexpected related reactions are expedited as required. Causality, expectedness against the Japanese label, severity, action, and outcome are recorded.</w:t>
      </w:r>
    </w:p>
    <w:p>
      <w:pPr>
        <w:pStyle w:val="Heading2"/>
        <w:spacing w:before="240" w:after="120"/>
      </w:pPr>
      <w:r>
        <w:t>Eligibility Rationale</w:t>
      </w:r>
    </w:p>
    <w:p>
      <w:r>
        <w:t>Adults undergoing elective non-CABG cardiac surgery with CPB, systemic unfractionated heparinisation, planned protamine reversal, and digital arterial-waveform capture form a clinically coherent population exposed to the target mechanism and endpoint.</w:t>
      </w:r>
    </w:p>
    <w:p>
      <w:pPr>
        <w:pStyle w:val="ListBullet"/>
      </w:pPr>
      <w:r>
        <w:t>Emergency/salvage surgery: consent, drug timing, and baseline stabilisation are unreliable.</w:t>
      </w:r>
    </w:p>
    <w:p>
      <w:pPr>
        <w:pStyle w:val="ListBullet"/>
      </w:pPr>
      <w:r>
        <w:t>Planned CABG: conservative response to international systemic NSAID CABG warnings.</w:t>
      </w:r>
    </w:p>
    <w:p>
      <w:pPr>
        <w:pStyle w:val="ListBullet"/>
      </w:pPr>
      <w:r>
        <w:t>Severe renal, hepatic, or haematological disease; decompensated heart failure/cardiogenic shock; or uncontrolled hypertension: Japanese-label safety restrictions and increased risk from NSAID exposure. Numeric/clinical thresholds must be finalised before activation.</w:t>
      </w:r>
    </w:p>
    <w:p>
      <w:pPr>
        <w:pStyle w:val="ListBullet"/>
      </w:pPr>
      <w:r>
        <w:t>Active bleeding/coagulopathy or prohibited antiplatelet context: bleeding-risk minimisation.</w:t>
      </w:r>
    </w:p>
    <w:p>
      <w:pPr>
        <w:pStyle w:val="ListBullet"/>
      </w:pPr>
      <w:r>
        <w:t>Peptic ulcer/GI bleeding: NSAID GI risk.</w:t>
      </w:r>
    </w:p>
    <w:p>
      <w:pPr>
        <w:pStyle w:val="ListBullet"/>
      </w:pPr>
      <w:r>
        <w:t>FPA/NSAID hypersensitivity or aspirin asthma: anaphylaxis/bronchospasm risk.</w:t>
      </w:r>
    </w:p>
    <w:p>
      <w:pPr>
        <w:pStyle w:val="ListBullet"/>
      </w:pPr>
      <w:r>
        <w:t>Prior severe protamine reaction: the trial cannot ethically rely on FPA to prevent a known high-risk reaction.</w:t>
      </w:r>
    </w:p>
    <w:p>
      <w:pPr>
        <w:pStyle w:val="ListBullet"/>
      </w:pPr>
      <w:r>
        <w:t>Pregnancy: label restriction and absent direct benefit.</w:t>
      </w:r>
    </w:p>
    <w:p>
      <w:pPr>
        <w:pStyle w:val="ListBullet"/>
      </w:pPr>
      <w:r>
        <w:t>Emergency inability to mask or complete study drug within the timing window: protocol integrity.</w:t>
      </w:r>
    </w:p>
    <w:p>
      <w:r>
        <w:t>Prior protamine or protamine-containing insulin exposure is not an automatic exclusion unless associated with a severe reaction; it is a randomisation stratum and prespecified subgroup because it may modify baseline risk.</w:t>
      </w:r>
    </w:p>
    <w:p>
      <w:pPr>
        <w:pStyle w:val="Heading2"/>
        <w:spacing w:before="240" w:after="120"/>
      </w:pPr>
      <w:r>
        <w:t>Informed Consent Core Elements</w:t>
      </w:r>
    </w:p>
    <w:p>
      <w:r>
        <w:t>The consent form must state the trial purpose, random assignment, placebo use, masking, off-label/investigational prophylactic FPA use, absence of proven preventive benefit, alternative of usual care without study drug, and the right to withdraw without affecting care. Risks must include AKI, bleeding/transfusion/reoperation, GI injury, allergy/anaphylaxis, bronchospasm/aspirin asthma, cardiovascular events, pregnancy risk, and confidentiality breach. It must explain blood sampling and waveform/medication data collection, day-30 contact, compensation/treatment for research injury, data retention and sharing, sponsor/investigator contacts, ethics contacts, and circumstances for emergency unblinding.</w:t>
      </w:r>
    </w:p>
    <w:p>
      <w:pPr>
        <w:pStyle w:val="Heading2"/>
        <w:spacing w:before="240" w:after="120"/>
      </w:pPr>
      <w:r>
        <w:t>Data Management Plan</w:t>
      </w:r>
    </w:p>
    <w:p>
      <w:pPr>
        <w:pStyle w:val="ListBullet"/>
      </w:pPr>
      <w:r>
        <w:t>Use validated electronic case-report forms with role-based access, audit trails, programmed range/logic checks, and immutable randomisation records.</w:t>
      </w:r>
    </w:p>
    <w:p>
      <w:pPr>
        <w:pStyle w:val="ListBullet"/>
      </w:pPr>
      <w:r>
        <w:t>Synchronise operating-room monitor, infusion-pump, anaesthesia-record, and study-system clocks daily; store the offset.</w:t>
      </w:r>
    </w:p>
    <w:p>
      <w:pPr>
        <w:pStyle w:val="ListBullet"/>
      </w:pPr>
      <w:r>
        <w:t>Transfer raw arterial-waveform files in native format plus a documented open export. Never overwrite source files.</w:t>
      </w:r>
    </w:p>
    <w:p>
      <w:pPr>
        <w:pStyle w:val="ListBullet"/>
      </w:pPr>
      <w:r>
        <w:t>Use a pseudonymous participant ID; keep the linkage key at each site under restricted access.</w:t>
      </w:r>
    </w:p>
    <w:p>
      <w:pPr>
        <w:pStyle w:val="ListBullet"/>
      </w:pPr>
      <w:r>
        <w:t>Record time-stamped heparin, ACT, residual-heparin estimate, protamine dose/rate/route/interruptions, all vasoactive drugs, fluids, pacing, cardioversion, CPB return, and mechanical support.</w:t>
      </w:r>
    </w:p>
    <w:p>
      <w:pPr>
        <w:pStyle w:val="ListBullet"/>
      </w:pPr>
      <w:r>
        <w:t>Lock derivation code before unmasking. Maintain data-query, adjudication, and code-version logs.</w:t>
      </w:r>
    </w:p>
    <w:p>
      <w:pPr>
        <w:pStyle w:val="ListBullet"/>
      </w:pPr>
      <w:r>
        <w:t>Retain essential records for the period required by Japanese law, sponsor policy, registry, and ethics approval; the protocol/consent must specify the final period.</w:t>
      </w:r>
    </w:p>
    <w:p>
      <w:pPr>
        <w:pStyle w:val="ListBullet"/>
      </w:pPr>
      <w:r>
        <w:t>Share deidentified participant-level data and code only under the approved governance plan and data-use agreement; public synthetic data are not clinical data.</w:t>
      </w:r>
    </w:p>
    <w:p>
      <w:pPr>
        <w:pStyle w:val="Heading2"/>
        <w:spacing w:before="240" w:after="120"/>
      </w:pPr>
      <w:r>
        <w:t>Monitoring Plan</w:t>
      </w:r>
    </w:p>
    <w:p>
      <w:r>
        <w:t>Risk-based monitoring will verify consent, eligibility, allocation concealment, study-drug accountability, timing, protamine dosing, primary waveform availability, SAE reporting, and key bleeding/renal outcomes. Central monitoring will flag implausible timestamps, missing waveform intervals, protocol-window deviations, duplicate values, and unusual site event rates. On-site or remote source-data verification will target all consent forms, all SAEs/SUSARs, all deaths, all suspected anaphylaxis, all returns to CPB, and a random sample of primary endpoints and non-events.</w:t>
      </w:r>
    </w:p>
    <w:p>
      <w:r>
        <w:t>The sponsor will convene an independent DSMB with cardiac anaesthesia, cardiothoracic surgery, nephrology/haemostasis, and biostatistics expertise. The DSMB charter will define membership, conflicts, closed/open reports, meeting schedule, safety triggers, confidentiality, and recommendation procedures before first enrolment.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Flurbiprofen Axetil Before Protamine to Prevent Clinically Important Hypotension in Adult Non-CABG On-Pump Cardiac Surgery: Protocol for the Multicentre, Randomised, Double-Blind, Placebo-Controlled IF-U-PLEASE II Trial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