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Tables</w:t>
      </w:r>
    </w:p>
    <w:p>
      <w:pPr>
        <w:spacing w:before="280"/>
      </w:pPr>
      <w:r>
        <w:rPr>
          <w:b/>
        </w:rPr>
        <w:t>Table 1. Schedule of enrolment, interventions, and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Screening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Pre-protamine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0–30 min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ICU/POD1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POD2–7/discharge</w:t>
            </w:r>
          </w:p>
        </w:tc>
        <w:tc>
          <w:tcPr>
            <w:tcW w:type="dxa" w:w="1337"/>
            <w:tcBorders>
              <w:bottom w:val="single" w:sz="4" w:color="B7B7B7"/>
            </w:tcBorders>
          </w:tcPr>
          <w:p>
            <w:r>
              <w:rPr>
                <w:b/>
              </w:rPr>
              <w:t>Day 30</w:t>
            </w:r>
          </w:p>
        </w:tc>
      </w:tr>
      <w:tr>
        <w:tc>
          <w:tcPr>
            <w:tcW w:type="dxa" w:w="1337"/>
          </w:tcPr>
          <w:p>
            <w:r>
              <w:t>Eligibility/consent</w:t>
            </w:r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Randomisation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FPA/placebo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Complete 15 ± 5 min before t=0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Protamine/heparin/ACT capture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Continuous MAP and vasoactive drugs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Baseline</w:t>
            </w:r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Bleeding/transfusion/reoperation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AKI and serious adverse events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>
              <w:t>X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Vital status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X</w:t>
            </w:r>
          </w:p>
        </w:tc>
      </w:tr>
    </w:tbl>
    <w:p/>
    <w:p>
      <w:pPr>
        <w:spacing w:before="280"/>
      </w:pPr>
      <w:r>
        <w:rPr>
          <w:b/>
        </w:rPr>
        <w:t>Table 2. Key eligibility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B7B7B7"/>
            </w:tcBorders>
          </w:tcPr>
          <w:p>
            <w:r>
              <w:rPr>
                <w:b/>
              </w:rPr>
              <w:t>Include</w:t>
            </w:r>
          </w:p>
        </w:tc>
        <w:tc>
          <w:tcPr>
            <w:tcW w:type="dxa" w:w="4680"/>
            <w:tcBorders>
              <w:bottom w:val="single" w:sz="4" w:color="B7B7B7"/>
            </w:tcBorders>
          </w:tcPr>
          <w:p>
            <w:r>
              <w:rPr>
                <w:b/>
              </w:rPr>
              <w:t>Exclude</w:t>
            </w:r>
          </w:p>
        </w:tc>
      </w:tr>
      <w:tr>
        <w:tc>
          <w:tcPr>
            <w:tcW w:type="dxa" w:w="4680"/>
          </w:tcPr>
          <w:p>
            <w:r>
              <w:t>Age ≥18 years; written informed consent</w:t>
            </w:r>
          </w:p>
        </w:tc>
        <w:tc>
          <w:tcPr>
            <w:tcW w:type="dxa" w:w="4680"/>
          </w:tcPr>
          <w:p>
            <w:r>
              <w:t>Emergency or salvage operation</w:t>
            </w:r>
          </w:p>
        </w:tc>
      </w:tr>
      <w:tr>
        <w:tc>
          <w:tcPr>
            <w:tcW w:type="dxa" w:w="4680"/>
          </w:tcPr>
          <w:p>
            <w:r>
              <w:t>Elective non-CABG cardiac surgery requiring CPB</w:t>
            </w:r>
          </w:p>
        </w:tc>
        <w:tc>
          <w:tcPr>
            <w:tcW w:type="dxa" w:w="4680"/>
          </w:tcPr>
          <w:p>
            <w:r>
              <w:t>Planned CABG or another procedure for which systemic NSAID exposure is prohibited locally</w:t>
            </w:r>
          </w:p>
        </w:tc>
      </w:tr>
      <w:tr>
        <w:tc>
          <w:tcPr>
            <w:tcW w:type="dxa" w:w="4680"/>
          </w:tcPr>
          <w:p>
            <w:r>
              <w:t>Systemic unfractionated heparin and planned protamine reversal</w:t>
            </w:r>
          </w:p>
        </w:tc>
        <w:tc>
          <w:tcPr>
            <w:tcW w:type="dxa" w:w="4680"/>
          </w:tcPr>
          <w:p>
            <w:r>
              <w:t>FPA/NSAID hypersensitivity, aspirin-exacerbated respiratory disease, or prior severe protamine reaction</w:t>
            </w:r>
          </w:p>
        </w:tc>
      </w:tr>
      <w:tr>
        <w:tc>
          <w:tcPr>
            <w:tcW w:type="dxa" w:w="4680"/>
          </w:tcPr>
          <w:p>
            <w:r>
              <w:t>Arterial catheter suitable for digital waveform capture</w:t>
            </w:r>
          </w:p>
        </w:tc>
        <w:tc>
          <w:tcPr>
            <w:tcW w:type="dxa" w:w="4680"/>
          </w:tcPr>
          <w:p>
            <w:r>
              <w:t>Active bleeding, clinically important coagulopathy, or contraindicated antiplatelet/anticoagulant context</w:t>
            </w:r>
          </w:p>
        </w:tc>
      </w:tr>
      <w:tr>
        <w:tc>
          <w:tcPr>
            <w:tcW w:type="dxa" w:w="4680"/>
          </w:tcPr>
          <w:p>
            <w:r>
              <w:t>Randomisation feasible before study-drug preparation</w:t>
            </w:r>
          </w:p>
        </w:tc>
        <w:tc>
          <w:tcPr>
            <w:tcW w:type="dxa" w:w="4680"/>
          </w:tcPr>
          <w:p>
            <w:r>
              <w:t>Active peptic ulcer, severe renal/hepatic disease, decompensated heart failure/cardiogenic shock, severe uncontrolled hypertension, pregnancy, or interacting prohibited medicine under the Japanese label</w:t>
            </w:r>
          </w:p>
        </w:tc>
      </w:tr>
    </w:tbl>
    <w:p/>
    <w:p>
      <w:pPr>
        <w:spacing w:before="280"/>
      </w:pPr>
      <w:r>
        <w:rPr>
          <w:b/>
        </w:rPr>
        <w:t>Table 3. Outcome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4" w:color="B7B7B7"/>
            </w:tcBorders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120"/>
            <w:tcBorders>
              <w:bottom w:val="single" w:sz="4" w:color="B7B7B7"/>
            </w:tcBorders>
          </w:tcPr>
          <w:p>
            <w:r>
              <w:rPr>
                <w:b/>
              </w:rPr>
              <w:t>Prospective definition</w:t>
            </w:r>
          </w:p>
        </w:tc>
        <w:tc>
          <w:tcPr>
            <w:tcW w:type="dxa" w:w="3120"/>
            <w:tcBorders>
              <w:bottom w:val="single" w:sz="4" w:color="B7B7B7"/>
            </w:tcBorders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3120"/>
          </w:tcPr>
          <w:p>
            <w:r>
              <w:t>Primary</w:t>
            </w:r>
          </w:p>
        </w:tc>
        <w:tc>
          <w:tcPr>
            <w:tcW w:type="dxa" w:w="3120"/>
          </w:tcPr>
          <w:p>
            <w:r>
              <w:t>≥1 artefact-free rolling 60-s epoch from t=0 to +30 min with median MAP ≤80% of stabilised baseline; ≥45 valid seconds required</w:t>
            </w:r>
          </w:p>
        </w:tc>
        <w:tc>
          <w:tcPr>
            <w:tcW w:type="dxa" w:w="3120"/>
          </w:tcPr>
          <w:p>
            <w:r>
              <w:t>Treatment-policy ITT; adjusted marginal risk difference with 95% stratified-bootstrap CI</w:t>
            </w:r>
          </w:p>
        </w:tc>
      </w:tr>
      <w:tr>
        <w:tc>
          <w:tcPr>
            <w:tcW w:type="dxa" w:w="3120"/>
          </w:tcPr>
          <w:p>
            <w:r>
              <w:t>Absolute hypotension</w:t>
            </w:r>
          </w:p>
        </w:tc>
        <w:tc>
          <w:tcPr>
            <w:tcW w:type="dxa" w:w="3120"/>
          </w:tcPr>
          <w:p>
            <w:r>
              <w:t>Any valid 60-s epoch with median MAP &lt;65 mmHg</w:t>
            </w:r>
          </w:p>
        </w:tc>
        <w:tc>
          <w:tcPr>
            <w:tcW w:type="dxa" w:w="3120"/>
          </w:tcPr>
          <w:p>
            <w:r>
              <w:t>Risk difference and risk ratio</w:t>
            </w:r>
          </w:p>
        </w:tc>
      </w:tr>
      <w:tr>
        <w:tc>
          <w:tcPr>
            <w:tcW w:type="dxa" w:w="3120"/>
          </w:tcPr>
          <w:p>
            <w:r>
              <w:t>Hypotension burden</w:t>
            </w:r>
          </w:p>
        </w:tc>
        <w:tc>
          <w:tcPr>
            <w:tcW w:type="dxa" w:w="3120"/>
          </w:tcPr>
          <w:p>
            <w:r>
              <w:t>Time-weighted average and area under MAP 65 mmHg</w:t>
            </w:r>
          </w:p>
        </w:tc>
        <w:tc>
          <w:tcPr>
            <w:tcW w:type="dxa" w:w="3120"/>
          </w:tcPr>
          <w:p>
            <w:r>
              <w:t>Adjusted linear model; transformed/robust analysis if needed</w:t>
            </w:r>
          </w:p>
        </w:tc>
      </w:tr>
      <w:tr>
        <w:tc>
          <w:tcPr>
            <w:tcW w:type="dxa" w:w="3120"/>
          </w:tcPr>
          <w:p>
            <w:r>
              <w:t>Rescue treatment</w:t>
            </w:r>
          </w:p>
        </w:tc>
        <w:tc>
          <w:tcPr>
            <w:tcW w:type="dxa" w:w="3120"/>
          </w:tcPr>
          <w:p>
            <w:r>
              <w:t>Protocol-defined vasopressor bolus, infusion escalation, or rescue mechanical support</w:t>
            </w:r>
          </w:p>
        </w:tc>
        <w:tc>
          <w:tcPr>
            <w:tcW w:type="dxa" w:w="3120"/>
          </w:tcPr>
          <w:p>
            <w:r>
              <w:t>Components and composite with the primary MAP criterion</w:t>
            </w:r>
          </w:p>
        </w:tc>
      </w:tr>
      <w:tr>
        <w:tc>
          <w:tcPr>
            <w:tcW w:type="dxa" w:w="3120"/>
          </w:tcPr>
          <w:p>
            <w:r>
              <w:t>Safety</w:t>
            </w:r>
          </w:p>
        </w:tc>
        <w:tc>
          <w:tcPr>
            <w:tcW w:type="dxa" w:w="3120"/>
          </w:tcPr>
          <w:p>
            <w:r>
              <w:t>KDIGO AKI; chest-tube drainage; transfusion; reoperation; GI bleeding; bronchospasm/anaphylaxis; MI; stroke; SAE; death</w:t>
            </w:r>
          </w:p>
        </w:tc>
        <w:tc>
          <w:tcPr>
            <w:tcW w:type="dxa" w:w="3120"/>
          </w:tcPr>
          <w:p>
            <w:r>
              <w:t>Prespecified descriptive estimates with 95% CIs; no efficacy multiplicity claim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Flurbiprofen Axetil Before Protamine to Prevent Clinically Important Hypotension in Adult Non-CABG On-Pump Cardiac Surgery: Protocol for the Multicentre, Randomised, Double-Blind, Placebo-Controlled IF-U-PLEASE II Trial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