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 draft</w:t>
      </w:r>
    </w:p>
    <w:p>
      <w:r>
        <w:t>[AUTHOR ACTION BEFORE SUBMISSION: insert submission date.]</w:t>
      </w:r>
    </w:p>
    <w:p>
      <w:r>
        <w:t>Editor-in-Chief</w:t>
        <w:br/>
        <w:t>Clean Technologies and Environmental Policy</w:t>
      </w:r>
    </w:p>
    <w:p>
      <w:r>
        <w:t>Dear Editor-in-Chief,</w:t>
      </w:r>
    </w:p>
    <w:p>
      <w:r>
        <w:t>Please consider my original research paper, “A service-normalized screening framework for geometric source reduction in disposable products,” for Clean Technologies and Environmental Policy.</w:t>
      </w:r>
    </w:p>
    <w:p>
      <w:r>
        <w:t>The paper addresses a screening question I believe is central to prevention-oriented product design: before prototyping or retooling, how can a designer determine whether reducing a product’s dimensions will actually reduce material demand per successful use? I answer it with a service-normalized analytical framework that connects geometric reduction to functional adequacy, behavioral response, manufacturing yield, accessory–container compatibility, and integer logistics. The framework is applied to three connected cases—fixed toilet-paper width, a longitudinal center perforation, and straw–container co-design—using exact break-even conditions, transparent scenario uncertainty, and fixed-seed Monte Carlo stress tests.</w:t>
      </w:r>
    </w:p>
    <w:p>
      <w:r>
        <w:t>The contribution is deliberately positioned as an integration and screening tool rather than a new discipline: material-efficiency and eco-design research already require service-denominator thinking, but I could not identify prior work that converts a proposed geometric reduction into explicit pass/fail boundaries a designer can apply before implementation. In the paper’s illustrative reference scenario, a 114-to-95 mm width reduction offers a nominal 16.7% area saving that is exactly erased by a 20.0% longitudinal compensation; 9 patent-reported contrasts range from -20.0% to +18.4% with 4 positive and 5 negative; a center perforation yields zero area saving whenever a task consumes two half-units; 20.0% straw shortening tolerates a 25.0% expected additional replacement rate but only a 20.0% independent per-attempt failure probability at zero shifted burden; and hypothetical integer packing changes discontinuously from 360 to 540 or 600 units per carton. Each boundary identifies which measurement would falsify or confirm the modeled benefit.</w:t>
      </w:r>
    </w:p>
    <w:p>
      <w:r>
        <w:t>I believe this fits the journal’s clean-technology thrust on mathematical and computer-based methods and models for designing, analyzing, and measuring the cleanliness of products and processes: the deliverable is a reproducible screening instrument for source reduction, not an empirical effectiveness claim. I state the empirical limitations plainly throughout—there is no controlled human-use study, no universal optimum, and no full life-cycle assessment—and the scenario Monte Carlo proportions are labeled as scenario-dependent rather than empirical probabilities. The manuscript closes with staged validation protocols that allocate future measurements to the parameters most capable of changing each decision.</w:t>
      </w:r>
    </w:p>
    <w:p>
      <w:r>
        <w:t>Code, processed data, acquisition ledgers, tests, figures, tables, and a value-traceability registry linking every reported number to its generating file are provided in a public reproducible repository. The paper makes no product-invention, patentability, or freedom-to-operate claim.</w:t>
      </w:r>
    </w:p>
    <w:p>
      <w:r>
        <w:t>[AUTHOR ACTION BEFORE SUBMISSION: confirm that this manuscript is original, has not been published, and is not under consideration elsewhere; if the submission system asks about prior submission history, answer truthfully.]</w:t>
      </w:r>
    </w:p>
    <w:p>
      <w:r>
        <w:t>Sincerely,</w:t>
        <w:br/>
        <w:t>Tatsuki Onishi</w:t>
        <w:br/>
        <w:t>Data Science and AI Innovation Research Promotion Center, Shiga University</w:t>
        <w:br/>
        <w:t>1-1-1 Bamba, Hikone, Shiga 522-8522, Japan</w:t>
        <w:br/>
        <w:t>E-mail: bougtoir@gmail.com | ORCID: 0000-0001-7261-9062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5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7D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