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pPr>
        <w:pStyle w:val="ListBullet"/>
      </w:pPr>
      <w:r>
        <w:t>Geometry reduction is tested per successful service, not per item.</w:t>
      </w:r>
    </w:p>
    <w:p>
      <w:pPr>
        <w:pStyle w:val="ListBullet"/>
      </w:pPr>
      <w:r>
        <w:t>Toilet-paper width benefit fails at elasticity minus one.</w:t>
      </w:r>
    </w:p>
    <w:p>
      <w:pPr>
        <w:pStyle w:val="ListBullet"/>
      </w:pPr>
      <w:r>
        <w:t>Center perforation can match width to heterogeneous task demand.</w:t>
      </w:r>
    </w:p>
    <w:p>
      <w:pPr>
        <w:pStyle w:val="ListBullet"/>
      </w:pPr>
      <w:r>
        <w:t>Straw shortening is optimized jointly with container geometry.</w:t>
      </w:r>
    </w:p>
    <w:p>
      <w:pPr>
        <w:pStyle w:val="ListBullet"/>
      </w:pPr>
      <w:r>
        <w:t>Packing and rebound create conditional, discontinuous benefits.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5A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F7D5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