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Editable tables</w:t>
      </w:r>
    </w:p>
    <w:p>
      <w:pPr>
        <w:spacing w:before="280" w:after="100"/>
      </w:pPr>
      <w:r>
        <w:rPr>
          <w:b/>
        </w:rPr>
        <w:t>Table 1. Evidence domains, source counts, and principal limitations.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shd w:fill="D9EAF2"/>
          </w:tcPr>
          <w:p>
            <w:r>
              <w:rPr>
                <w:b/>
                <w:sz w:val="16"/>
              </w:rPr>
              <w:t>evidence domain</w:t>
            </w:r>
          </w:p>
        </w:tc>
        <w:tc>
          <w:tcPr>
            <w:tcW w:type="dxa" w:w="2412"/>
            <w:shd w:fill="D9EAF2"/>
          </w:tcPr>
          <w:p>
            <w:r>
              <w:rPr>
                <w:b/>
                <w:sz w:val="16"/>
              </w:rPr>
              <w:t>source count</w:t>
            </w:r>
          </w:p>
        </w:tc>
        <w:tc>
          <w:tcPr>
            <w:tcW w:type="dxa" w:w="2412"/>
            <w:shd w:fill="D9EAF2"/>
          </w:tcPr>
          <w:p>
            <w:r>
              <w:rPr>
                <w:b/>
                <w:sz w:val="16"/>
              </w:rPr>
              <w:t>observed or scenario</w:t>
            </w:r>
          </w:p>
        </w:tc>
        <w:tc>
          <w:tcPr>
            <w:tcW w:type="dxa" w:w="2412"/>
            <w:shd w:fill="D9EAF2"/>
          </w:tcPr>
          <w:p>
            <w:r>
              <w:rPr>
                <w:b/>
                <w:sz w:val="16"/>
              </w:rPr>
              <w:t>principal limitation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toilet paper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observed source metadata and specifications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No controlled population elasticity estimate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straw/container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observed documents and product examples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No linked universal minimum functional length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prior art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patent publications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Prior art is not proof of market performance</w:t>
            </w:r>
          </w:p>
        </w:tc>
      </w:tr>
    </w:tbl>
    <w:p>
      <w:r>
        <w:br w:type="page"/>
      </w:r>
    </w:p>
    <w:p>
      <w:pPr>
        <w:spacing w:before="280" w:after="100"/>
      </w:pPr>
      <w:r>
        <w:rPr>
          <w:b/>
        </w:rPr>
        <w:t>Table 2. Toilet-paper fixed-width scenarios and exact break-even ratios.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blHeader w:val="true"/>
        </w:trPr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baseline width mm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candidate width mm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width reduction fraction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break even longitudinal ratio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saving zero compensation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saving moderate compensation elasticity minus 0 35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saving break even elasticity minus 1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114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100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0.1228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1.14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0.1228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0.08164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114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95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0.1667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1.2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0.1667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0.1118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114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90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0.2105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1.267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0.2105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0.1424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114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0.2982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1.425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0.2982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0.2056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0</w:t>
            </w:r>
          </w:p>
        </w:tc>
      </w:tr>
    </w:tbl>
    <w:p>
      <w:r>
        <w:br w:type="page"/>
      </w:r>
    </w:p>
    <w:p>
      <w:pPr>
        <w:spacing w:before="280" w:after="100"/>
      </w:pPr>
      <w:r>
        <w:rPr>
          <w:b/>
        </w:rPr>
        <w:t>Table 3. Hypothetical center-perforation task-mixture scenarios.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shd w:fill="D9EAF2"/>
          </w:tcPr>
          <w:p>
            <w:r>
              <w:rPr>
                <w:b/>
                <w:sz w:val="16"/>
              </w:rPr>
              <w:t>half suitable task probability</w:t>
            </w:r>
          </w:p>
        </w:tc>
        <w:tc>
          <w:tcPr>
            <w:tcW w:type="dxa" w:w="2412"/>
            <w:shd w:fill="D9EAF2"/>
          </w:tcPr>
          <w:p>
            <w:r>
              <w:rPr>
                <w:b/>
                <w:sz w:val="16"/>
              </w:rPr>
              <w:t>half task unit multiplier</w:t>
            </w:r>
          </w:p>
        </w:tc>
        <w:tc>
          <w:tcPr>
            <w:tcW w:type="dxa" w:w="2412"/>
            <w:shd w:fill="D9EAF2"/>
          </w:tcPr>
          <w:p>
            <w:r>
              <w:rPr>
                <w:b/>
                <w:sz w:val="16"/>
              </w:rPr>
              <w:t>material ratio before penalties</w:t>
            </w:r>
          </w:p>
        </w:tc>
        <w:tc>
          <w:tcPr>
            <w:tcW w:type="dxa" w:w="2412"/>
            <w:shd w:fill="D9EAF2"/>
          </w:tcPr>
          <w:p>
            <w:r>
              <w:rPr>
                <w:b/>
                <w:sz w:val="16"/>
              </w:rPr>
              <w:t>material saving before penalties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0.25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1.2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0.9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0.1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0.5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1.2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0.8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0.2</w:t>
            </w:r>
          </w:p>
        </w:tc>
      </w:tr>
      <w:tr>
        <w:tc>
          <w:tcPr>
            <w:tcW w:type="dxa" w:w="2412"/>
          </w:tcPr>
          <w:p>
            <w:r>
              <w:rPr>
                <w:sz w:val="15"/>
              </w:rPr>
              <w:t>0.75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1.2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0.7</w:t>
            </w:r>
          </w:p>
        </w:tc>
        <w:tc>
          <w:tcPr>
            <w:tcW w:type="dxa" w:w="2412"/>
          </w:tcPr>
          <w:p>
            <w:r>
              <w:rPr>
                <w:sz w:val="15"/>
              </w:rPr>
              <w:t>0.3</w:t>
            </w:r>
          </w:p>
        </w:tc>
      </w:tr>
    </w:tbl>
    <w:p>
      <w:r>
        <w:br w:type="page"/>
      </w:r>
    </w:p>
    <w:p>
      <w:pPr>
        <w:spacing w:before="280" w:after="100"/>
      </w:pPr>
      <w:r>
        <w:rPr>
          <w:b/>
        </w:rPr>
        <w:t>Table 4. Straw-shortening break-even boundaries under two replacement formulations.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length reduction fraction</w:t>
            </w:r>
          </w:p>
        </w:tc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material saving zero replacement zero shift</w:t>
            </w:r>
          </w:p>
        </w:tc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expected additional replacement rate break even zero shift</w:t>
            </w:r>
          </w:p>
        </w:tc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expected additional replacement rate break even 5pct shift</w:t>
            </w:r>
          </w:p>
        </w:tc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independent failure probability break even zero shift</w:t>
            </w:r>
          </w:p>
        </w:tc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independent failure probability break even 5pct shift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0.1111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0.05556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0.1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0.05263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0.2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0.2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0.25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0.1875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0.2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0.1579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0.3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0.3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0.4286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0.3571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0.3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0.2632</w:t>
            </w:r>
          </w:p>
        </w:tc>
      </w:tr>
    </w:tbl>
    <w:p>
      <w:r>
        <w:br w:type="page"/>
      </w:r>
    </w:p>
    <w:p>
      <w:pPr>
        <w:spacing w:before="280" w:after="100"/>
      </w:pPr>
      <w:r>
        <w:rPr>
          <w:b/>
        </w:rPr>
        <w:t>Table 5. Hypothetical integer-packing example.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blHeader w:val="true"/>
        </w:trPr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scenario status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unit length mm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unit width mm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unit height mm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units per carton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best orientation mm</w:t>
            </w:r>
          </w:p>
        </w:tc>
        <w:tc>
          <w:tcPr>
            <w:tcW w:type="dxa" w:w="1378"/>
            <w:shd w:fill="D9EAF2"/>
          </w:tcPr>
          <w:p>
            <w:r>
              <w:rPr>
                <w:b/>
                <w:sz w:val="16"/>
              </w:rPr>
              <w:t>carton internal mm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HYPOTHETICAL_INTEGER_PACKING_EXAMPLE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165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360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165x20x20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400x300x250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HYPOTHETICAL_INTEGER_PACKING_EXAMPLE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132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540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132x20x20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400x300x250</w:t>
            </w:r>
          </w:p>
        </w:tc>
      </w:tr>
      <w:tr>
        <w:tc>
          <w:tcPr>
            <w:tcW w:type="dxa" w:w="1378"/>
          </w:tcPr>
          <w:p>
            <w:r>
              <w:rPr>
                <w:sz w:val="15"/>
              </w:rPr>
              <w:t>HYPOTHETICAL_INTEGER_PACKING_EXAMPLE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115.5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600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20x20x115.5</w:t>
            </w:r>
          </w:p>
        </w:tc>
        <w:tc>
          <w:tcPr>
            <w:tcW w:type="dxa" w:w="1378"/>
          </w:tcPr>
          <w:p>
            <w:r>
              <w:rPr>
                <w:sz w:val="15"/>
              </w:rPr>
              <w:t>400x300x250</w:t>
            </w:r>
          </w:p>
        </w:tc>
      </w:tr>
    </w:tbl>
    <w:p>
      <w:r>
        <w:br w:type="page"/>
      </w:r>
    </w:p>
    <w:p>
      <w:pPr>
        <w:spacing w:before="280" w:after="100"/>
      </w:pPr>
      <w:r>
        <w:rPr>
          <w:b/>
        </w:rPr>
        <w:t>Table 6. Monte Carlo scenario summaries.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tblHeader w:val="true"/>
        </w:trPr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case</w:t>
            </w:r>
          </w:p>
        </w:tc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mean</w:t>
            </w:r>
          </w:p>
        </w:tc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median</w:t>
            </w:r>
          </w:p>
        </w:tc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p2 5</w:t>
            </w:r>
          </w:p>
        </w:tc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p97 5</w:t>
            </w:r>
          </w:p>
        </w:tc>
        <w:tc>
          <w:tcPr>
            <w:tcW w:type="dxa" w:w="1608"/>
            <w:shd w:fill="D9EAF2"/>
          </w:tcPr>
          <w:p>
            <w:r>
              <w:rPr>
                <w:b/>
                <w:sz w:val="16"/>
              </w:rPr>
              <w:t>probability positive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toilet_width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0.06359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0.06848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-0.03928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0.1472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0.8788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center_perforation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0.1497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0.1419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0.01547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0.3244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0.9918</w:t>
            </w:r>
          </w:p>
        </w:tc>
      </w:tr>
      <w:tr>
        <w:tc>
          <w:tcPr>
            <w:tcW w:type="dxa" w:w="1608"/>
          </w:tcPr>
          <w:p>
            <w:r>
              <w:rPr>
                <w:sz w:val="15"/>
              </w:rPr>
              <w:t>straw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0.0683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0.07771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-0.06693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0.1652</w:t>
            </w:r>
          </w:p>
        </w:tc>
        <w:tc>
          <w:tcPr>
            <w:tcW w:type="dxa" w:w="1608"/>
          </w:tcPr>
          <w:p>
            <w:r>
              <w:rPr>
                <w:sz w:val="15"/>
              </w:rPr>
              <w:t>0.8327</w:t>
            </w:r>
          </w:p>
        </w:tc>
      </w:tr>
    </w:tbl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7D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