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b/>
          <w:color w:val="17324D"/>
          <w:sz w:val="38"/>
        </w:rPr>
        <w:t>Redesign before substitution: functional geometry optimization of disposable products</w:t>
      </w:r>
    </w:p>
    <w:p>
      <w:pPr>
        <w:spacing w:before="560"/>
        <w:jc w:val="center"/>
      </w:pPr>
      <w:r>
        <w:rPr>
          <w:b/>
        </w:rPr>
        <w:t>Tatsuki Onishi</w:t>
      </w:r>
    </w:p>
    <w:p>
      <w:pPr>
        <w:jc w:val="center"/>
      </w:pPr>
      <w:r>
        <w:rPr>
          <w:i/>
        </w:rPr>
        <w:t>[AUTHOR ACTION BEFORE SUBMISSION: add affiliation, postal address, and corresponding-author email.]</w:t>
      </w:r>
    </w:p>
    <w:p>
      <w:pPr>
        <w:spacing w:before="480"/>
        <w:jc w:val="center"/>
      </w:pPr>
      <w:r>
        <w:t>Article type: Original article</w:t>
        <w:br/>
        <w:t>Target journal: Journal of Cleaner Production</w:t>
        <w:br/>
        <w:t>Word count and compliance details are provided in reports/final_QC.md</w:t>
      </w:r>
    </w:p>
    <w:p>
      <w:r>
        <w:br w:type="page"/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5A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F7D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