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Functionally graded roofs for passive snow management: a reduced-order multiobjective modeling study</w:t>
      </w:r>
    </w:p>
    <w:p>
      <w:pPr>
        <w:pStyle w:val="Heading1"/>
      </w:pPr>
      <w:r>
        <w:t>S1. Frozen analysis and implementation</w:t>
      </w:r>
    </w:p>
    <w:p>
      <w:r>
        <w:t>The analysis plan, machine-readable freeze, and deviation log are included in the repository. All primary outcomes, optimization seeds, resolution choices, and classification weights were defined before production results.</w:t>
      </w:r>
    </w:p>
    <w:p>
      <w:pPr>
        <w:pStyle w:val="Heading1"/>
      </w:pPr>
      <w:r>
        <w:t>S2. Reproduction</w:t>
      </w:r>
    </w:p>
    <w:p>
      <w:r>
        <w:t>Create the pinned Python 3.11 environment, then run `make all`. The workflow validates source style and tests, regenerates processed synthetic and JMA weather, evaluates baselines and convergence, resumes or executes optimization, runs sensitivity and robustness, creates figures and editable tables, builds submission documents, validates them, and packages the submission.</w:t>
      </w:r>
    </w:p>
    <w:p>
      <w:pPr>
        <w:pStyle w:val="Heading1"/>
      </w:pPr>
      <w:r>
        <w:t>S3. Model scope</w:t>
      </w:r>
    </w:p>
    <w:p>
      <w:r>
        <w:t>Cell mass balance is snowfall input minus melt and eave release. Static friction and adhesion define onset; kinetic friction defines transport. The model is deterministic for a fixed design and weather series. It is a threshold-release model rather than a structural, fracture-mechanics, or computational-fluid-dynamics model.</w:t>
      </w:r>
    </w:p>
    <w:p>
      <w:pPr>
        <w:pStyle w:val="Heading1"/>
      </w:pPr>
      <w:r>
        <w:t>S4. Public-data provenance</w:t>
      </w:r>
    </w:p>
    <w:p>
      <w:r>
        <w:t>The consolidated ledger contains 233 records: not_recovered=130, verified=102, no_path=1. Each locally retained record includes a path, size, checksum, retrieval time, request context where applicable, and usage-conditions reference. Records marked not_recovered are historical child-worker scratch captures, not quantitative inputs. Quantitative inputs and redistributable evidence are retained in verified repository snapshots; non-redistributed third-party documents remain identified by provenance metadata.</w:t>
      </w:r>
    </w:p>
    <w:p>
      <w:pPr>
        <w:pStyle w:val="Heading1"/>
      </w:pPr>
      <w:r>
        <w:t>S5. Machine-readable outputs</w:t>
      </w:r>
    </w:p>
    <w:p>
      <w:r>
        <w:t>Complete design-space, Pareto, per-seed history, sensitivity, robustness, JMA scenario, phase-diagram, and material-mapping tables are supplied as CSV. The selected manuscript values are generated directly from these files.</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