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Highlights</w:t>
      </w:r>
    </w:p>
    <w:p>
      <w:pPr>
        <w:pStyle w:val="ListBullet"/>
      </w:pPr>
      <w:r>
        <w:t>Uniform and graded roof-snow trade-off sets were optimized.</w:t>
      </w:r>
    </w:p>
    <w:p>
      <w:pPr>
        <w:pStyle w:val="ListBullet"/>
      </w:pPr>
      <w:r>
        <w:t>Spatial slope, friction, and adhesion profiles were compared.</w:t>
      </w:r>
    </w:p>
    <w:p>
      <w:pPr>
        <w:pStyle w:val="ListBullet"/>
      </w:pPr>
      <w:r>
        <w:t>Constructability removed the selected nominal graded advantage.</w:t>
      </w:r>
    </w:p>
    <w:p>
      <w:pPr>
        <w:pStyle w:val="ListBullet"/>
      </w:pPr>
      <w:r>
        <w:t>Outputs are modeled evidence, not safety certification.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