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Functionally graded roofs for passive snow management: a reduced-order multiobjective modeling study</w:t>
      </w:r>
    </w:p>
    <w:p>
      <w:r>
        <w:t>Tatsuki Onishi</w:t>
      </w:r>
    </w:p>
    <w:p>
      <w:r>
        <w:t>[AFFILIATION TO BE COMPLETED BEFORE SUBMISSION]</w:t>
      </w:r>
    </w:p>
    <w:p>
      <w:r>
        <w:t>[POSTAL ADDRESS TO BE COMPLETED BEFORE SUBMISSION]</w:t>
      </w:r>
    </w:p>
    <w:p>
      <w:r>
        <w:t>Corresponding author email: bougtoir@gmail.com</w:t>
      </w:r>
    </w:p>
    <w:p>
      <w:pPr>
        <w:pStyle w:val="Heading1"/>
      </w:pPr>
      <w:r>
        <w:t>Declarations</w:t>
      </w:r>
    </w:p>
    <w:p>
      <w:r>
        <w:t>Funding: [TO BE COMPLETED BEFORE SUBMISSION]</w:t>
      </w:r>
    </w:p>
    <w:p>
      <w:r>
        <w:t>Declaration of competing interests: [TO BE COMPLETED BEFORE SUBMISSION]</w:t>
      </w:r>
    </w:p>
    <w:p>
      <w:r>
        <w:t>CRediT authorship contribution statement: [TO BE CONFIRMED BEFORE SUBMISSION]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