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</w:pPr>
      <w:r>
        <w:rPr>
          <w:rFonts w:ascii="Times New Roman" w:hAnsi="Times New Roman" w:eastAsia="MS Mincho"/>
          <w:b w:val="0"/>
          <w:i w:val="0"/>
          <w:sz w:val="22"/>
        </w:rPr>
        <w:t>May 17, 2026</w:t>
      </w:r>
    </w:p>
    <w:p>
      <w:pPr>
        <w:spacing w:after="120" w:before="0" w:line="360" w:lineRule="auto"/>
      </w:pPr>
      <w:r>
        <w:rPr>
          <w:rFonts w:ascii="Times New Roman" w:hAnsi="Times New Roman" w:eastAsia="MS Mincho"/>
          <w:b w:val="0"/>
          <w:i w:val="0"/>
          <w:sz w:val="22"/>
        </w:rPr>
        <w:t>Professor Yasuhide Okuyama and Professor Rosa Duarte</w:t>
      </w:r>
    </w:p>
    <w:p>
      <w:pPr>
        <w:spacing w:after="120" w:before="0" w:line="360" w:lineRule="auto"/>
      </w:pPr>
      <w:r>
        <w:rPr>
          <w:rFonts w:ascii="Times New Roman" w:hAnsi="Times New Roman" w:eastAsia="MS Mincho"/>
          <w:b w:val="0"/>
          <w:i w:val="0"/>
          <w:sz w:val="22"/>
        </w:rPr>
        <w:t>Editors-in-Chief</w:t>
      </w:r>
    </w:p>
    <w:p>
      <w:pPr>
        <w:spacing w:after="120" w:before="0" w:line="360" w:lineRule="auto"/>
      </w:pPr>
      <w:r>
        <w:rPr>
          <w:rFonts w:ascii="Times New Roman" w:hAnsi="Times New Roman" w:eastAsia="MS Mincho"/>
          <w:b w:val="0"/>
          <w:i w:val="0"/>
          <w:sz w:val="22"/>
        </w:rPr>
        <w:t>Economic Systems Research</w:t>
      </w:r>
    </w:p>
    <w:p>
      <w:pPr>
        <w:spacing w:after="120" w:before="0" w:line="360" w:lineRule="auto"/>
      </w:pPr>
      <w:r>
        <w:rPr>
          <w:rFonts w:ascii="Times New Roman" w:hAnsi="Times New Roman" w:eastAsia="MS Mincho"/>
          <w:b w:val="0"/>
          <w:i w:val="0"/>
          <w:sz w:val="22"/>
        </w:rPr>
      </w:r>
    </w:p>
    <w:p>
      <w:pPr>
        <w:spacing w:after="120" w:before="0" w:line="360" w:lineRule="auto"/>
      </w:pPr>
      <w:r>
        <w:rPr>
          <w:rFonts w:ascii="Times New Roman" w:hAnsi="Times New Roman" w:eastAsia="MS Mincho"/>
          <w:b/>
          <w:i w:val="0"/>
          <w:sz w:val="22"/>
        </w:rPr>
        <w:t>Re: Submission of "Time-Varying Time-to-Build in Capital Accounting: Reconciling Flow- and Stock-Based National Wealth Measures through a Time-Varying Perpetual Inventory Method with Intangible Capital"</w:t>
      </w:r>
    </w:p>
    <w:p>
      <w:pPr>
        <w:spacing w:after="120" w:before="0" w:line="360" w:lineRule="auto"/>
      </w:pPr>
      <w:r>
        <w:rPr>
          <w:rFonts w:ascii="Times New Roman" w:hAnsi="Times New Roman" w:eastAsia="MS Mincho"/>
          <w:b w:val="0"/>
          <w:i w:val="0"/>
          <w:sz w:val="22"/>
        </w:rPr>
      </w:r>
    </w:p>
    <w:p>
      <w:pPr>
        <w:spacing w:after="120" w:before="0" w:line="360" w:lineRule="auto"/>
      </w:pPr>
      <w:r>
        <w:rPr>
          <w:rFonts w:ascii="Times New Roman" w:hAnsi="Times New Roman" w:eastAsia="MS Mincho"/>
          <w:b w:val="0"/>
          <w:i w:val="0"/>
          <w:sz w:val="22"/>
        </w:rPr>
        <w:t>Dear Editors,</w:t>
      </w:r>
    </w:p>
    <w:p>
      <w:pPr>
        <w:spacing w:after="120" w:before="0" w:line="360" w:lineRule="auto"/>
      </w:pPr>
      <w:r>
        <w:rPr>
          <w:rFonts w:ascii="Times New Roman" w:hAnsi="Times New Roman" w:eastAsia="MS Mincho"/>
          <w:b w:val="0"/>
          <w:i w:val="0"/>
          <w:sz w:val="22"/>
        </w:rPr>
        <w:t>I am pleased to submit the enclosed manuscript for consideration for publication in Economic Systems Research. The paper develops a framework for reconciling flow-based (GDP) and stock-based (national wealth) accounts by relaxing two standard assumptions in the perpetual inventory method: zero time-to-build and the exclusion of intangible capital.</w:t>
      </w:r>
    </w:p>
    <w:p>
      <w:pPr>
        <w:spacing w:after="120" w:before="0" w:line="360" w:lineRule="auto"/>
      </w:pPr>
      <w:r>
        <w:rPr>
          <w:rFonts w:ascii="Times New Roman" w:hAnsi="Times New Roman" w:eastAsia="MS Mincho"/>
          <w:b w:val="0"/>
          <w:i w:val="0"/>
          <w:sz w:val="22"/>
        </w:rPr>
        <w:t>The paper makes three specific contributions that align with the journal's scope. First, it introduces a time-varying mean investment-to-output lag in a production-function PIM framework and shows that this improves out-of-sample GDP level predictions by 12–13% across 39 OECD and middle-income economies. Second, it jointly identifies the time-to-build parameter μ and the intangible capital share β against both production data (Penn World Table) and wealth data (World Bank CWON), demonstrating that the flow and stock accounts agree to within 1–2% for most advanced economies when both parameters are estimated rather than imposed. Third, it provides bootstrap confidence intervals showing that neither parameter is well identified from production data alone; the wealth-side constraint from the national accounting identity dW/dt = S(Y) − δW is essential.</w:t>
      </w:r>
    </w:p>
    <w:p>
      <w:pPr>
        <w:spacing w:after="120" w:before="0" w:line="360" w:lineRule="auto"/>
      </w:pPr>
      <w:r>
        <w:rPr>
          <w:rFonts w:ascii="Times New Roman" w:hAnsi="Times New Roman" w:eastAsia="MS Mincho"/>
          <w:b w:val="0"/>
          <w:i w:val="0"/>
          <w:sz w:val="22"/>
        </w:rPr>
        <w:t>The paper was previously submitted to the Review of Income and Wealth, where it received a desk rejection. I have taken the Editor's detailed and constructive feedback seriously and made substantial revisions. The most important changes are: (1) the paper now engages explicitly with the asset-specific PIM literature (OECD Manual, vintage models, age-efficiency profiles); (2) the demographic analogy that motivated the framework is presented as a heuristic rather than a formal claim of equivalence, with a dedicated section discussing where the analogy holds and where it breaks down; (3) additional benchmark models (AR(1) distributed lag, broken-trend specification) have been added to test the robustness of the time-varying lag result; and (4) the empirical results are reported more honestly, including the negative finding that intangible capital alone does not improve out-of-sample prediction.</w:t>
      </w:r>
    </w:p>
    <w:p>
      <w:pPr>
        <w:spacing w:after="120" w:before="0" w:line="360" w:lineRule="auto"/>
      </w:pPr>
      <w:r>
        <w:rPr>
          <w:rFonts w:ascii="Times New Roman" w:hAnsi="Times New Roman" w:eastAsia="MS Mincho"/>
          <w:b w:val="0"/>
          <w:i w:val="0"/>
          <w:sz w:val="22"/>
        </w:rPr>
        <w:t>I believe the revised manuscript is now a better fit for Economic Systems Research than for its previous target. The paper's emphasis on the accounting-identity linkage between production and wealth accounts, its cross-country empirical approach, and its practical recommendations for wealth accounting programmes (CWON, IWI) all speak directly to the journal's readership.</w:t>
      </w:r>
    </w:p>
    <w:p>
      <w:pPr>
        <w:spacing w:after="120" w:before="0" w:line="360" w:lineRule="auto"/>
      </w:pPr>
      <w:r>
        <w:rPr>
          <w:rFonts w:ascii="Times New Roman" w:hAnsi="Times New Roman" w:eastAsia="MS Mincho"/>
          <w:b w:val="0"/>
          <w:i w:val="0"/>
          <w:sz w:val="22"/>
        </w:rPr>
        <w:t>This manuscript has not been published previously and is not under consideration elsewhere. I have no conflicts of interest to declare.</w:t>
      </w:r>
    </w:p>
    <w:p>
      <w:pPr>
        <w:spacing w:after="120" w:before="0" w:line="360" w:lineRule="auto"/>
      </w:pPr>
      <w:r>
        <w:rPr>
          <w:rFonts w:ascii="Times New Roman" w:hAnsi="Times New Roman" w:eastAsia="MS Mincho"/>
          <w:b w:val="0"/>
          <w:i w:val="0"/>
          <w:sz w:val="22"/>
        </w:rPr>
        <w:t>Thank you for your time and consideration. I look forward to hearing from you.</w:t>
      </w:r>
    </w:p>
    <w:p>
      <w:pPr>
        <w:spacing w:after="120" w:before="0" w:line="360" w:lineRule="auto"/>
      </w:pPr>
      <w:r>
        <w:rPr>
          <w:rFonts w:ascii="Times New Roman" w:hAnsi="Times New Roman" w:eastAsia="MS Mincho"/>
          <w:b w:val="0"/>
          <w:i w:val="0"/>
          <w:sz w:val="22"/>
        </w:rPr>
      </w:r>
    </w:p>
    <w:p>
      <w:pPr>
        <w:spacing w:after="120" w:before="0" w:line="360" w:lineRule="auto"/>
      </w:pPr>
      <w:r>
        <w:rPr>
          <w:rFonts w:ascii="Times New Roman" w:hAnsi="Times New Roman" w:eastAsia="MS Mincho"/>
          <w:b w:val="0"/>
          <w:i w:val="0"/>
          <w:sz w:val="22"/>
        </w:rPr>
        <w:t>Sincerely,</w:t>
      </w:r>
    </w:p>
    <w:p>
      <w:pPr>
        <w:spacing w:after="120" w:before="0" w:line="360" w:lineRule="auto"/>
      </w:pPr>
      <w:r>
        <w:rPr>
          <w:rFonts w:ascii="Times New Roman" w:hAnsi="Times New Roman" w:eastAsia="MS Mincho"/>
          <w:b w:val="0"/>
          <w:i w:val="0"/>
          <w:sz w:val="12"/>
        </w:rPr>
      </w:r>
    </w:p>
    <w:p>
      <w:pPr>
        <w:spacing w:after="120" w:before="0" w:line="360" w:lineRule="auto"/>
      </w:pPr>
      <w:r>
        <w:rPr>
          <w:rFonts w:ascii="Times New Roman" w:hAnsi="Times New Roman" w:eastAsia="MS Mincho"/>
          <w:b w:val="0"/>
          <w:i w:val="0"/>
          <w:sz w:val="22"/>
        </w:rPr>
        <w:t>Tatsuki Onishi</w:t>
      </w:r>
    </w:p>
    <w:p>
      <w:pPr>
        <w:spacing w:after="120" w:before="0" w:line="360" w:lineRule="auto"/>
      </w:pPr>
      <w:r>
        <w:rPr>
          <w:rFonts w:ascii="Times New Roman" w:hAnsi="Times New Roman" w:eastAsia="MS Mincho"/>
          <w:b w:val="0"/>
          <w:i/>
          <w:sz w:val="20"/>
        </w:rPr>
        <w:t>Data Science AI Innovation Research Promotion Center, Shiga University</w:t>
      </w:r>
    </w:p>
    <w:p>
      <w:pPr>
        <w:spacing w:after="120" w:before="0" w:line="360" w:lineRule="auto"/>
      </w:pPr>
      <w:r>
        <w:rPr>
          <w:rFonts w:ascii="Times New Roman" w:hAnsi="Times New Roman" w:eastAsia="MS Mincho"/>
          <w:b w:val="0"/>
          <w:i/>
          <w:sz w:val="20"/>
        </w:rPr>
        <w:t>E-mail: bougtoir@gmail.com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