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Times New Roman" w:hAnsi="Times New Roman" w:eastAsia="MS Mincho"/>
          <w:b/>
          <w:i w:val="0"/>
          <w:sz w:val="28"/>
        </w:rPr>
        <w:t>時変タイム・トゥ・ビルドによる資本会計：時変恒久棚卸法と無形資本によるフロー型・ストック型国富指標の統合</w:t>
      </w:r>
    </w:p>
    <w:p>
      <w:pPr>
        <w:spacing w:after="120" w:before="0" w:line="360" w:lineRule="auto"/>
      </w:pPr>
      <w:r>
        <w:rPr>
          <w:rFonts w:ascii="Times New Roman" w:hAnsi="Times New Roman" w:eastAsia="MS Mincho"/>
          <w:b w:val="0"/>
          <w:i w:val="0"/>
          <w:sz w:val="22"/>
        </w:rPr>
        <w:t>大西達紀（Onishi Tatsuki）</w:t>
      </w:r>
    </w:p>
    <w:p>
      <w:pPr>
        <w:spacing w:after="120" w:before="0" w:line="360" w:lineRule="auto"/>
      </w:pPr>
      <w:r>
        <w:rPr>
          <w:rFonts w:ascii="Times New Roman" w:hAnsi="Times New Roman" w:eastAsia="MS Mincho"/>
          <w:b w:val="0"/>
          <w:i w:val="0"/>
          <w:sz w:val="22"/>
        </w:rPr>
        <w:t>滋賀大学 データサイエンス・AIイノベーション研究推進センター</w:t>
      </w:r>
    </w:p>
    <w:p>
      <w:pPr>
        <w:spacing w:after="120" w:before="0" w:line="360" w:lineRule="auto"/>
      </w:pPr>
      <w:r>
        <w:rPr>
          <w:rFonts w:ascii="Times New Roman" w:hAnsi="Times New Roman" w:eastAsia="MS Mincho"/>
          <w:b w:val="0"/>
          <w:i w:val="0"/>
          <w:sz w:val="22"/>
        </w:rPr>
        <w:t>〒522-8522 滋賀県彦根市馬場 1-1-1</w:t>
      </w:r>
    </w:p>
    <w:p>
      <w:pPr>
        <w:spacing w:after="120" w:before="0" w:line="360" w:lineRule="auto"/>
      </w:pPr>
      <w:r>
        <w:rPr>
          <w:rFonts w:ascii="Times New Roman" w:hAnsi="Times New Roman" w:eastAsia="MS Mincho"/>
          <w:b w:val="0"/>
          <w:i w:val="0"/>
          <w:sz w:val="22"/>
        </w:rPr>
        <w:t>電話：+81-749-27-1023. E-mail: bougtoir@gmail.com. ORCID: 0000-0001-7261-9062.</w:t>
      </w:r>
    </w:p>
    <w:p>
      <w:pPr>
        <w:spacing w:after="120" w:before="0" w:line="360" w:lineRule="auto"/>
      </w:pPr>
      <w:r>
        <w:rPr>
          <w:rFonts w:ascii="Times New Roman" w:hAnsi="Times New Roman" w:eastAsia="MS Mincho"/>
          <w:b w:val="0"/>
          <w:i w:val="0"/>
          <w:sz w:val="22"/>
        </w:rPr>
        <w:t>キーワード: タイム・トゥ・ビルド、恒久棚卸法、無形資本、国富会計、フロー=ストック整合性、Beyond-GDP。</w:t>
      </w:r>
    </w:p>
    <w:p>
      <w:pPr>
        <w:spacing w:after="120" w:before="0" w:line="360" w:lineRule="auto"/>
      </w:pPr>
      <w:r>
        <w:rPr>
          <w:rFonts w:ascii="Times New Roman" w:hAnsi="Times New Roman" w:eastAsia="MS Mincho"/>
          <w:b w:val="0"/>
          <w:i w:val="0"/>
          <w:sz w:val="22"/>
        </w:rPr>
        <w:t>JEL コード: E01（国民所得・生産勘定の測定とデータ）、E22（投資・資本・無形資本）、O47（経済成長・集計生産性の測定）。</w:t>
      </w:r>
    </w:p>
    <w:p>
      <w:pPr>
        <w:spacing w:after="120" w:before="0" w:line="360" w:lineRule="auto"/>
      </w:pPr>
      <w:r>
        <w:rPr>
          <w:rFonts w:ascii="Times New Roman" w:hAnsi="Times New Roman" w:eastAsia="MS Mincho"/>
          <w:b w:val="0"/>
          <w:i w:val="0"/>
          <w:sz w:val="22"/>
        </w:rPr>
        <w:t>CRediT 著者貢献: O.T.: 構想、方法論、ソフトウェア、形式的解析、原稿執筆（初稿）、執筆（査読・編集）。</w:t>
      </w:r>
    </w:p>
    <w:p>
      <w:pPr>
        <w:spacing w:after="120" w:before="0" w:line="360" w:lineRule="auto"/>
      </w:pPr>
      <w:r>
        <w:rPr>
          <w:rFonts w:ascii="Times New Roman" w:hAnsi="Times New Roman" w:eastAsia="MS Mincho"/>
          <w:b w:val="0"/>
          <w:i w:val="0"/>
          <w:sz w:val="22"/>
        </w:rPr>
        <w:t>生成 AI の科学的執筆への使用についての宣言: 文面のフォーマット整形、文体に合う語彙の選択、およびコード作成の補助に生成 AI を用いた。</w:t>
      </w:r>
    </w:p>
    <w:p>
      <w:pPr>
        <w:spacing w:after="120" w:before="0" w:line="360" w:lineRule="auto"/>
      </w:pPr>
      <w:r>
        <w:rPr>
          <w:rFonts w:ascii="Times New Roman" w:hAnsi="Times New Roman" w:eastAsia="MS Mincho"/>
          <w:b w:val="0"/>
          <w:i w:val="0"/>
          <w:sz w:val="22"/>
        </w:rPr>
        <w:t>利益相反: 著者は開示すべき利益相反を有しない。</w:t>
      </w:r>
    </w:p>
    <w:p>
      <w:pPr>
        <w:spacing w:after="120" w:before="0" w:line="360" w:lineRule="auto"/>
      </w:pPr>
      <w:r>
        <w:rPr>
          <w:rFonts w:ascii="Times New Roman" w:hAnsi="Times New Roman" w:eastAsia="MS Mincho"/>
          <w:b w:val="0"/>
          <w:i w:val="0"/>
          <w:sz w:val="22"/>
        </w:rPr>
        <w:t>データ・コード公開: 本研究で用いた Penn World Table 10.01 と World Bank CWON のデータは、それぞれ Groningen Growth and Development Centre および世界銀行から公開されている。解析スクリプト、中間結果、原稿ソースは付随する公開リポジトリにすべて保管されている。</w:t>
      </w:r>
    </w:p>
    <w:p>
      <w:pPr>
        <w:spacing w:after="120" w:before="0" w:line="360" w:lineRule="auto"/>
      </w:pPr>
      <w:r>
        <w:rPr>
          <w:rFonts w:ascii="Times New Roman" w:hAnsi="Times New Roman" w:eastAsia="MS Mincho"/>
          <w:b w:val="0"/>
          <w:i w:val="0"/>
          <w:sz w:val="22"/>
        </w:rPr>
        <w:t>要旨（145語）。標準的恒久棚卸法（PIM）による資本ストック推計は、投資が即座に生産能力に寄与すること（タイム・トゥ・ビルド＝ゼロ）、および無形資本が存在しないことを暗黙に仮定している。本稿は両仮定を同時に緩和し、投資-産出間の平均ラグ μ(t) に線形ドリフトを許容するとともに、R&amp;Dベースの無形資本ストックを生産関数に追加する（シェア β）。Penn World Table 10.01 と世界銀行 CWON を用いた OECD・中所得39カ国の推定では、正のタイム・トゥ・ビルドを許容することでGDP水準の標本外MAPE中央値が4.60%から4.06%に低下し、μ(t)のドリフトを加えると3.99%となる。無形資本のみの追加は予測を改善しない（MAPE 4.72%）が、生産データと国富データの両方に対して(μ, β)を同時同定すると、ほとんどの先進国でフロー・ストック勘定が1–2%以内で整合する。人口学のテンポ効果（Bongaarts-Feeney, Goldstein-Lutz-Scherbov）との発見法的類推について、成立点と不成立点を明示的に論じる。</w:t>
      </w:r>
    </w:p>
    <w:p>
      <w:pPr>
        <w:spacing w:after="120" w:before="0" w:line="360" w:lineRule="auto"/>
      </w:pPr>
      <w:r>
        <w:rPr>
          <w:rFonts w:ascii="Times New Roman" w:hAnsi="Times New Roman" w:eastAsia="MS Mincho"/>
          <w:b w:val="0"/>
          <w:i w:val="0"/>
          <w:sz w:val="22"/>
        </w:rPr>
        <w:t>キーワード: タイム・トゥ・ビルド、恒久棚卸法、無形資本、国富会計、Beyond-GDP。</w:t>
      </w:r>
    </w:p>
    <w:p>
      <w:pPr>
        <w:spacing w:after="120" w:before="0" w:line="360" w:lineRule="auto"/>
      </w:pPr>
      <w:r>
        <w:rPr>
          <w:rFonts w:ascii="Times New Roman" w:hAnsi="Times New Roman" w:eastAsia="MS Mincho"/>
          <w:b w:val="0"/>
          <w:i w:val="0"/>
          <w:sz w:val="22"/>
        </w:rPr>
        <w:t>JEL コード: E01, E22, O47.</w:t>
      </w:r>
    </w:p>
    <w:p>
      <w:pPr>
        <w:spacing w:before="240" w:after="120"/>
      </w:pPr>
      <w:r>
        <w:rPr>
          <w:rFonts w:ascii="Times New Roman" w:hAnsi="Times New Roman" w:eastAsia="MS Mincho"/>
          <w:b/>
          <w:i w:val="0"/>
          <w:sz w:val="24"/>
        </w:rPr>
        <w:t>1. はじめに</w:t>
      </w:r>
    </w:p>
    <w:p>
      <w:pPr>
        <w:spacing w:after="120" w:before="0" w:line="360" w:lineRule="auto"/>
      </w:pPr>
      <w:r>
        <w:rPr>
          <w:rFonts w:ascii="Times New Roman" w:hAnsi="Times New Roman" w:eastAsia="MS Mincho"/>
          <w:b w:val="0"/>
          <w:i w:val="0"/>
          <w:sz w:val="22"/>
        </w:rPr>
        <w:t>マクロ経済学者なら誰しも、国民の豊かさを測るやり方について二つの別々だが関連する不満を聞いたことがある。第一に、GDPはフロー指標であり、資源枯渇や減耗、無形資産ストックを無視している（Stiglitz, Sen, and Fitoussi, 2009; Corrado, Hulten, and Sichel, 2009; Haskel and Westlake, 2017）。第二に、Inclusive Wealth Index（Managi and Kumar, 2018）、SEEA（UNECE, 2014）、CWON（Lange, Wodon, and Carey, 2018）といったストック型代替指標は、独立に再構築した資本ストックとも相互にもほとんど一致しない。フロー型とストック型の国民経済計算は、この四半世紀、同じ家の別々の部屋で同居しながら、同じ卓にすら呼ばれて来なかった。</w:t>
      </w:r>
    </w:p>
    <w:p>
      <w:pPr>
        <w:spacing w:after="120" w:before="0" w:line="360" w:lineRule="auto"/>
      </w:pPr>
      <w:r>
        <w:rPr>
          <w:rFonts w:ascii="Times New Roman" w:hAnsi="Times New Roman" w:eastAsia="MS Mincho"/>
          <w:b w:val="0"/>
          <w:i w:val="0"/>
          <w:sz w:val="22"/>
        </w:rPr>
        <w:t>本稿は、この乖離のかなりの部分が、標準的恒久棚卸法（PIM）における二つの特定化上の仮定――投資が即座に生産能力に寄与する（タイム・トゥ・ビルド＝ゼロ）という仮定と、生産関数から無形資本を除外する仮定――に起因することを論じる。投資-産出間の平均ラグ μ(t) に線形ドリフトを許容し、R&amp;Dベースの無形資本ストックを生産関数に追加する。主要な実証結果は以下の通りである：正のタイム・トゥ・ビルドを認めることで、39カ国におけるGDP水準の標本外予測誤差（MAPE）中央値が4.60%から4.06%へと12%の相対改善。μ(t) に線形ドリフトを加えると3.99%にさらに改善。無形資本のみでは標本外予測は改善しない（MAPE 4.72%）が、生産データ（PWT）と国富データ（CWON）の両方に対して(μ, β)を同時同定すると、ほとんどの先進国でフロー・ストック勘定が1–2%以内で整合する。同時同定により、どちらのパラメータも生産データのみからは十分に識別されず、国富側の制約が不可欠であることも明らかになる。</w:t>
      </w:r>
    </w:p>
    <w:p>
      <w:pPr>
        <w:spacing w:after="120" w:before="0" w:line="360" w:lineRule="auto"/>
      </w:pPr>
      <w:r>
        <w:rPr>
          <w:rFonts w:ascii="Times New Roman" w:hAnsi="Times New Roman" w:eastAsia="MS Mincho"/>
          <w:b w:val="0"/>
          <w:i w:val="0"/>
          <w:sz w:val="22"/>
        </w:rPr>
        <w:t>μとβの同時処理を動機づける人口学的類推は、Bongaarts and Feeney (1998) および Goldstein, Lutz, and Scherbov (2003) からの発見法的借用である。人口学では、平均出産年齢の上昇が期間出生率を機械的に低下させることが示され、「忘れられた」パリティ別分散パラメータが期間・コホート勘定間の整合性を回復した。タイミング分布のドリフトでフロー統計が汚染され、単一の省略された量パラメータで整合性が回復するという構造的類似性は示唆的である。しかし、初めから注意しておくべきことがある。資本会計におけるタイム・トゥ・ビルドは、明確な工学的解釈を持つgestation lagであり（Kydland and Prescott, 1982）、期間-コホート集計の統計的アーティファクトではない。人口学的テンポ調整は純粋に構成バイアスを補正するのに対し、資本会計の調整は生産関数のタイミング誤特定を補正する。両問題は異なる統計対象と異なる識別仮定を伴う。類推は有益な教育的手段であり仮説の源泉ではあるが、形式的等価性を主張するものではない。この区別については3.4節と6.2節で再び論じる。</w:t>
      </w:r>
    </w:p>
    <w:p>
      <w:pPr>
        <w:spacing w:after="120" w:before="0" w:line="360" w:lineRule="auto"/>
      </w:pPr>
      <w:r>
        <w:rPr>
          <w:rFonts w:ascii="Times New Roman" w:hAnsi="Times New Roman" w:eastAsia="MS Mincho"/>
          <w:b w:val="0"/>
          <w:i w:val="0"/>
          <w:sz w:val="22"/>
        </w:rPr>
        <w:t>以降の構成は次の通り。第2節で関連文献を整理し、第3節で理論モデルを、第4節でデータと推定手法を、第5節で結果を報告する。第6節で含意と限界を議論し、第7節で結論を述べる。</w:t>
      </w:r>
    </w:p>
    <w:p>
      <w:pPr>
        <w:spacing w:before="240" w:after="120"/>
      </w:pPr>
      <w:r>
        <w:rPr>
          <w:rFonts w:ascii="Times New Roman" w:hAnsi="Times New Roman" w:eastAsia="MS Mincho"/>
          <w:b/>
          <w:i w:val="0"/>
          <w:sz w:val="24"/>
        </w:rPr>
        <w:t>2. 先行研究</w:t>
      </w:r>
    </w:p>
    <w:p>
      <w:pPr>
        <w:spacing w:after="120" w:before="0" w:line="360" w:lineRule="auto"/>
      </w:pPr>
      <w:r>
        <w:rPr>
          <w:rFonts w:ascii="Times New Roman" w:hAnsi="Times New Roman" w:eastAsia="MS Mincho"/>
          <w:b w:val="0"/>
          <w:i w:val="0"/>
          <w:sz w:val="22"/>
        </w:rPr>
        <w:t>資本会計とタイム・トゥ・ビルド。 Kydland and Prescott (1982) 以来、景気循環モデルに多期間投資ラグを入れることは標準となった。経験推定はほぼすべて固定ラグ構造に基づくものであり、全期間で単一の μ を推定するか、景気後退・拡大で少数の場面別 μ を推定するかである（Mayer, 1960; Koeva, 2000）。Kaboski (2005) は産業横断的不均一性を記録するが、やはり時不変扱いである。近年の拡張（Altug, 1989; Christiano and Todd, 1996; Edge, 2007）はラグ分布を部門構成に依存させる確率的拡張を探求しているものの、μ が数十年規模で系統的にドリフトすることを許容していない。人口学における平均出産年齢の時変を資本に移す試みは、我々の知る限り存在しない。この欠落は結果として重要である。1990 年以降の投資は、カスタム産業ソフトウェア、クラウド基盤、製薬 R&amp;D、複雑なエンジニアリング・システムなどリードタイムの長い資産への構成シフトを実際に経験しており、原初の投資ラグ文献が想定した 1960 年代型の建屋・設備資産とは桁 1 つ近く異なる懐胎期間を要する（OECD, 2013; Corrado et al., 2020）。</w:t>
      </w:r>
    </w:p>
    <w:p>
      <w:pPr>
        <w:spacing w:after="120" w:before="0" w:line="360" w:lineRule="auto"/>
      </w:pPr>
      <w:r>
        <w:rPr>
          <w:rFonts w:ascii="Times New Roman" w:hAnsi="Times New Roman" w:eastAsia="MS Mincho"/>
          <w:b w:val="0"/>
          <w:i w:val="0"/>
          <w:sz w:val="22"/>
        </w:rPr>
        <w:t>無形資本。 Corrado, Hulten, and Sichel (2005, 2009) の一連の研究によって、ソフトウェア、R&amp;D、デザイン、ブランド、組織資本、訓練が先進国の生産性成長の 30〜60 % を占めるとの国際的証拠は頑健となった（INTAN-Invest: Corrado et al., 2016; Roth, 2023）。2008 年の国民経済計算体系（SNA）改訂は R&amp;D を生産資本に取り込んだが、それ以外の広範な無形資本――組織資本、ブランド、訓練、購入デザイン・サービス、一部の金融イノベーション――は世界銀行 CWON を含め多くの公式バランスシートから除外されたままである（Lange et al., 2018, 第 3 章）。De Rassenfosse and Jaffe (2018) および Haskel and Westlake (2017, 2022) が強調するように、この脱落は測定資本の水準のみならず、無形シェアが拡張している局面――まさに本稿の 1995〜2019 年サンプルがそれに当たる――での含意生産性成長率をも歪める。重要なことに、無形シェア β はグローバル定数ではない。日本、ドイツ、一部の東アジア経済は調和測定の下でも米国より小さな無形シェアを保持する（Corrado et al., 2020）。したがって β は国別パラメータであるべきであり、本稿の第 4 節でもそのように扱う。</w:t>
      </w:r>
    </w:p>
    <w:p>
      <w:pPr>
        <w:spacing w:after="120" w:before="0" w:line="360" w:lineRule="auto"/>
      </w:pPr>
      <w:r>
        <w:rPr>
          <w:rFonts w:ascii="Times New Roman" w:hAnsi="Times New Roman" w:eastAsia="MS Mincho"/>
          <w:b w:val="0"/>
          <w:i w:val="0"/>
          <w:sz w:val="22"/>
        </w:rPr>
        <w:t>国富会計。 Stiglitz-Sen-Fitoussi (2009) から Jorgenson (2018), Managi-Kumar (2018) に至る Beyond-GDP 運動は、GDP を国富集計で置換・補完することを提案している。しかし実証的には、主要三集計（SEEA、IWI、CWON）は互いにも、独立に再構築した PIM ストックとも有意に食い違う（Arrow et al., 2012; Dasgupta, 2021）。主流の診断は測定誤差と自然資本の扱いに帰する。本稿は、より地味な犯人――誤設定されたタイム・トゥ・ビルドと省かれた無形シェア――が乖離のかなりの部分を説明することを示す。</w:t>
      </w:r>
    </w:p>
    <w:p>
      <w:pPr>
        <w:spacing w:after="120" w:before="0" w:line="360" w:lineRule="auto"/>
      </w:pPr>
      <w:r>
        <w:rPr>
          <w:rFonts w:ascii="Times New Roman" w:hAnsi="Times New Roman" w:eastAsia="MS Mincho"/>
          <w:b w:val="0"/>
          <w:i w:val="0"/>
          <w:sz w:val="22"/>
        </w:rPr>
        <w:t>人口学におけるテンポと忘却パラメータ。 Bongaarts and Feeney (1998) は TFR\ = TFR/(1 − r(t)) の調整を導入した。r(t)* は平均出産年齢の年変化である。Goldstein, Lutz, and Scherbov (2003) は、パリティ別の「忘れられた」分散 σ を再導入しない限り Bongaarts-Feeney が上限にとどまることを示した。Kohler, Billari, and Ortega (2002) と Bongaarts and Sobotka (2012) が欧州データで両知見を追認している。構造的教訓――ストック過程の期間統計はタイミング分布のドリフトで汚染される、そして一つの省かれた量パラメータで整合性が回復する――こそ我々が資本勘定へ移植するものである。</w:t>
      </w:r>
    </w:p>
    <w:p>
      <w:pPr>
        <w:spacing w:after="120" w:before="0" w:line="360" w:lineRule="auto"/>
      </w:pPr>
      <w:r>
        <w:rPr>
          <w:rFonts w:ascii="Times New Roman" w:hAnsi="Times New Roman" w:eastAsia="MS Mincho"/>
          <w:b w:val="0"/>
          <w:i w:val="0"/>
          <w:sz w:val="22"/>
        </w:rPr>
        <w:t>医療と人的資本の持続可能性。 進行中の姉妹論文は、医療支出から平均寿命へのラグ μ_H が 2000 年以降 OECD で年 0.15 年ずつ延伸していること、ならびに忘却パラメータ β_H（予防・R&amp;D 向け支出シェア）が米日寿命格差のさらなる部分を説明することを示す。同論文は本稿と同じ量・テンポ分解を用いる。</w:t>
      </w:r>
    </w:p>
    <w:p>
      <w:pPr>
        <w:spacing w:after="120" w:before="0" w:line="360" w:lineRule="auto"/>
      </w:pPr>
      <w:r>
        <w:rPr>
          <w:rFonts w:ascii="Times New Roman" w:hAnsi="Times New Roman" w:eastAsia="MS Mincho"/>
          <w:b w:val="0"/>
          <w:i w:val="0"/>
          <w:sz w:val="22"/>
        </w:rPr>
        <w:t>本稿が埋める間隙。 上記文献は (i) 資本タイム・トゥ・ビルド、(ii) 無形、(iii) 国富集計、(iv) 人口テンポの各テーマを個別に扱ってきた。(a) 時変タイム・トゥ・ビルドを推定し、(b) CHS の無形シェアを回復し、(c) 国富恒等式で両者を同時制御する、という三位一体の先行研究は我々の知る限り存在しない。</w:t>
      </w:r>
    </w:p>
    <w:p>
      <w:pPr>
        <w:spacing w:before="240" w:after="120"/>
      </w:pPr>
      <w:r>
        <w:rPr>
          <w:rFonts w:ascii="Times New Roman" w:hAnsi="Times New Roman" w:eastAsia="MS Mincho"/>
          <w:b/>
          <w:i w:val="0"/>
          <w:sz w:val="24"/>
        </w:rPr>
        <w:t>3. 理論</w:t>
      </w:r>
    </w:p>
    <w:p>
      <w:pPr>
        <w:spacing w:before="240" w:after="120"/>
      </w:pPr>
      <w:r>
        <w:rPr>
          <w:rFonts w:ascii="Times New Roman" w:hAnsi="Times New Roman" w:eastAsia="MS Mincho"/>
          <w:b/>
          <w:i w:val="0"/>
          <w:sz w:val="22"/>
        </w:rPr>
        <w:t>3.1 テンポ付きフロー側生産関数</w:t>
      </w:r>
    </w:p>
    <w:p>
      <w:pPr>
        <w:spacing w:after="120" w:before="0" w:line="360" w:lineRule="auto"/>
      </w:pPr>
      <w:r>
        <w:rPr>
          <w:rFonts w:ascii="Times New Roman" w:hAnsi="Times New Roman" w:eastAsia="MS Mincho"/>
          <w:b w:val="0"/>
          <w:i w:val="0"/>
          <w:sz w:val="22"/>
        </w:rPr>
        <w:t>教科書的な生産関数は、投資が即時に成熟するかのように扱う：</w:t>
      </w:r>
    </w:p>
    <w:p>
      <w:pPr>
        <w:spacing w:after="120" w:before="0" w:line="360" w:lineRule="auto"/>
      </w:pPr>
      <w:r>
        <w:rPr>
          <w:rFonts w:ascii="Times New Roman" w:hAnsi="Times New Roman" w:eastAsia="MS Mincho"/>
          <w:b w:val="0"/>
          <w:i w:val="0"/>
          <w:sz w:val="22"/>
        </w:rPr>
        <w:t>K_instant(t) = (1 − δ_{t-1}) K_instant(t−1) + I_{t-1},                         (M0)</w:t>
      </w:r>
    </w:p>
    <w:p>
      <w:pPr>
        <w:spacing w:after="120" w:before="0" w:line="360" w:lineRule="auto"/>
      </w:pPr>
      <w:r>
        <w:rPr>
          <w:rFonts w:ascii="Times New Roman" w:hAnsi="Times New Roman" w:eastAsia="MS Mincho"/>
          <w:b w:val="0"/>
          <w:i w:val="0"/>
          <w:sz w:val="22"/>
        </w:rPr>
        <w:t>したがって Solow (1957) 残差はすべての誤設定を全要素生産性 (TFP) に押しつける。Mayer (1960) と Kydland-Prescott (1982) 以来、実際には投資はラグののちストックに加わることが知られている。これを分布ラグ型 PIM で書くと：</w:t>
      </w:r>
    </w:p>
    <w:p>
      <w:pPr>
        <w:spacing w:after="120" w:before="0" w:line="360" w:lineRule="auto"/>
      </w:pPr>
      <w:r>
        <w:rPr>
          <w:rFonts w:ascii="Times New Roman" w:hAnsi="Times New Roman" w:eastAsia="MS Mincho"/>
          <w:b w:val="0"/>
          <w:i w:val="0"/>
          <w:sz w:val="22"/>
        </w:rPr>
        <w:t>K(t; μ) = (1 − δ_{t-1}) K(t−1; μ) + Σₛ w_s(μ) I_{t-1-s},                     (M1)</w:t>
      </w:r>
    </w:p>
    <w:p>
      <w:pPr>
        <w:spacing w:after="120" w:before="0" w:line="360" w:lineRule="auto"/>
      </w:pPr>
      <w:r>
        <w:rPr>
          <w:rFonts w:ascii="Times New Roman" w:hAnsi="Times New Roman" w:eastAsia="MS Mincho"/>
          <w:b w:val="0"/>
          <w:i w:val="0"/>
          <w:sz w:val="22"/>
        </w:rPr>
        <w:t>ただし幾何的重み w_s(μ) = (1 − θ)·θ^s、θ = μ/(1+μ)、すなわち平均ラグはちょうど μ 年である。ラグ文献との本質的差別化は、μ に線形時変を許すことにある：</w:t>
      </w:r>
    </w:p>
    <w:p>
      <w:pPr>
        <w:spacing w:after="120" w:before="0" w:line="360" w:lineRule="auto"/>
      </w:pPr>
      <w:r>
        <w:rPr>
          <w:rFonts w:ascii="Times New Roman" w:hAnsi="Times New Roman" w:eastAsia="MS Mincho"/>
          <w:b w:val="0"/>
          <w:i w:val="0"/>
          <w:sz w:val="22"/>
        </w:rPr>
        <w:t>μ(t) = μ₀ + μ₁·(t − t₀),                                                    (M2)</w:t>
      </w:r>
    </w:p>
    <w:p>
      <w:pPr>
        <w:spacing w:after="120" w:before="0" w:line="360" w:lineRule="auto"/>
      </w:pPr>
      <w:r>
        <w:rPr>
          <w:rFonts w:ascii="Times New Roman" w:hAnsi="Times New Roman" w:eastAsia="MS Mincho"/>
          <w:b w:val="0"/>
          <w:i w:val="0"/>
          <w:sz w:val="22"/>
        </w:rPr>
        <w:t>ここで μ₁ は Bongaarts-Feeney の意味での「テンポ」である。正の μ₁ は平均的投資がより長期化すること――たとえばデジタルインフラ、R&amp;D プラットフォーム、複雑な多年度組立を要する投資が増えること――を、負の μ₁ はその逆を意味する。</w:t>
      </w:r>
    </w:p>
    <w:p>
      <w:pPr>
        <w:spacing w:before="240" w:after="120"/>
      </w:pPr>
      <w:r>
        <w:rPr>
          <w:rFonts w:ascii="Times New Roman" w:hAnsi="Times New Roman" w:eastAsia="MS Mincho"/>
          <w:b/>
          <w:i w:val="0"/>
          <w:sz w:val="22"/>
        </w:rPr>
        <w:t>3.2 ストック側の無形資本：忘れられた β</w:t>
      </w:r>
    </w:p>
    <w:p>
      <w:pPr>
        <w:spacing w:after="120" w:before="0" w:line="360" w:lineRule="auto"/>
      </w:pPr>
      <w:r>
        <w:rPr>
          <w:rFonts w:ascii="Times New Roman" w:hAnsi="Times New Roman" w:eastAsia="MS Mincho"/>
          <w:b w:val="0"/>
          <w:i w:val="0"/>
          <w:sz w:val="22"/>
        </w:rPr>
        <w:t>K_tang(t) を (M1)-(M2) から得られる有形 PIM ストックとし、K_I(t) を R&amp;D 支出を減耗率 δ_I = 0.15 で幾何的 PIM 化した無形ストックとする（Corrado-Hulten-Sichel, 2009）。無形を含む拡張生産関数は：</w:t>
      </w:r>
    </w:p>
    <w:p>
      <w:pPr>
        <w:spacing w:after="120" w:before="0" w:line="360" w:lineRule="auto"/>
      </w:pPr>
      <w:r>
        <w:rPr>
          <w:rFonts w:ascii="Times New Roman" w:hAnsi="Times New Roman" w:eastAsia="MS Mincho"/>
          <w:b w:val="0"/>
          <w:i w:val="0"/>
          <w:sz w:val="22"/>
        </w:rPr>
        <w:t>log Y_t = α log K_tang(t) + β log K_I(t) + (1 − α − β) log L_t + log A_t,    (M3)</w:t>
      </w:r>
    </w:p>
    <w:p>
      <w:pPr>
        <w:spacing w:after="120" w:before="0" w:line="360" w:lineRule="auto"/>
      </w:pPr>
      <w:r>
        <w:rPr>
          <w:rFonts w:ascii="Times New Roman" w:hAnsi="Times New Roman" w:eastAsia="MS Mincho"/>
          <w:b w:val="0"/>
          <w:i w:val="0"/>
          <w:sz w:val="22"/>
        </w:rPr>
        <w:t>ここで β は無形シェアである。標準慣行は β = 0 を課す（Solow; 本稿 M0・M1 も同様）。β &gt; 0 を推定することは、Goldstein-Lutz-Scherbov における σ 再導入の資本会計上の類似物である。</w:t>
      </w:r>
    </w:p>
    <w:p>
      <w:pPr>
        <w:spacing w:before="240" w:after="120"/>
      </w:pPr>
      <w:r>
        <w:rPr>
          <w:rFonts w:ascii="Times New Roman" w:hAnsi="Times New Roman" w:eastAsia="MS Mincho"/>
          <w:b/>
          <w:i w:val="0"/>
          <w:sz w:val="22"/>
        </w:rPr>
        <w:t>3.3 統合恒等式：フロー＝ストック同時損失関数</w:t>
      </w:r>
    </w:p>
    <w:p>
      <w:pPr>
        <w:spacing w:after="120" w:before="0" w:line="360" w:lineRule="auto"/>
      </w:pPr>
      <w:r>
        <w:rPr>
          <w:rFonts w:ascii="Times New Roman" w:hAnsi="Times New Roman" w:eastAsia="MS Mincho"/>
          <w:b w:val="0"/>
          <w:i w:val="0"/>
          <w:sz w:val="22"/>
        </w:rPr>
        <w:t>整合的な国富集計 W(t) は帳簿恒等式</w:t>
      </w:r>
    </w:p>
    <w:p>
      <w:pPr>
        <w:spacing w:after="120" w:before="0" w:line="360" w:lineRule="auto"/>
      </w:pPr>
      <w:r>
        <w:rPr>
          <w:rFonts w:ascii="Times New Roman" w:hAnsi="Times New Roman" w:eastAsia="MS Mincho"/>
          <w:b w:val="0"/>
          <w:i w:val="0"/>
          <w:sz w:val="22"/>
        </w:rPr>
        <w:t>dW/dt = S(Y) − δ_W · W,                                                       (1)</w:t>
      </w:r>
    </w:p>
    <w:p>
      <w:pPr>
        <w:spacing w:after="120" w:before="0" w:line="360" w:lineRule="auto"/>
      </w:pPr>
      <w:r>
        <w:rPr>
          <w:rFonts w:ascii="Times New Roman" w:hAnsi="Times New Roman" w:eastAsia="MS Mincho"/>
          <w:b w:val="0"/>
          <w:i w:val="0"/>
          <w:sz w:val="22"/>
        </w:rPr>
        <w:t>を必ず満たす。(1) のもとで、生産側を支配する {μ, β} は、国富勘定が含意する再生産可能資本軌道をも支配するはずである。したがって単一の同時損失関数を定義する：</w:t>
      </w:r>
    </w:p>
    <w:p>
      <w:pPr>
        <w:spacing w:after="120" w:before="0" w:line="360" w:lineRule="auto"/>
      </w:pPr>
      <w:r>
        <w:rPr>
          <w:rFonts w:ascii="Times New Roman" w:hAnsi="Times New Roman" w:eastAsia="MS Mincho"/>
          <w:b w:val="0"/>
          <w:i w:val="0"/>
          <w:sz w:val="22"/>
        </w:rPr>
        <w:t>L_total(μ, β) = L_production(μ, β) + λ · L_wealth(μ, β),                      (2)</w:t>
      </w:r>
    </w:p>
    <w:p>
      <w:pPr>
        <w:spacing w:after="120" w:before="0" w:line="360" w:lineRule="auto"/>
      </w:pPr>
      <w:r>
        <w:rPr>
          <w:rFonts w:ascii="Times New Roman" w:hAnsi="Times New Roman" w:eastAsia="MS Mincho"/>
          <w:b w:val="0"/>
          <w:i w:val="0"/>
          <w:sz w:val="22"/>
        </w:rPr>
        <w:t>L_production は生産関数 (M3) の成長率残差、L_wealth は PIM ストック K_tang(t; μ) + β · K_I(t) と CWON 生産資本系列 NW.PCA.TO(t) の国内軌跡 RMSE である。(2) の最小化により「M4 同時」推定量 (μ̂_joint, β̂_joint) を得る。λ = 0 は生産のみの推定に帰着する。</w:t>
      </w:r>
    </w:p>
    <w:p>
      <w:pPr>
        <w:spacing w:before="240" w:after="120"/>
      </w:pPr>
      <w:r>
        <w:rPr>
          <w:rFonts w:ascii="Times New Roman" w:hAnsi="Times New Roman" w:eastAsia="MS Mincho"/>
          <w:b/>
          <w:i w:val="0"/>
          <w:sz w:val="22"/>
        </w:rPr>
        <w:t>3.4 人口と資本の量・テンポ対応</w:t>
      </w:r>
    </w:p>
    <w:p>
      <w:pPr>
        <w:spacing w:after="120" w:before="0" w:line="360" w:lineRule="auto"/>
      </w:pPr>
      <w:r>
        <w:rPr>
          <w:rFonts w:ascii="Times New Roman" w:hAnsi="Times New Roman" w:eastAsia="MS Mincho"/>
          <w:b w:val="0"/>
          <w:i w:val="0"/>
          <w:sz w:val="22"/>
        </w:rPr>
        <w:t>表 2 は、Bongaarts-Feeney-Goldstein-Lutz-Scherbov が分析した人口変数と本稿の資本変数の一対一対応を示す。すべての人口概念には、帳簿恒等式および量・テンポ分解の中で同じ役割を演じる資本概念が存在する。これは単なる記憶術ではない。人口テンポから σ を同定する統計ツール（コホート整合性検定、Brass 相対モデル）には資本会計上の直接的な類似物があり、本稿はこれを活用する。</w:t>
      </w:r>
    </w:p>
    <w:p>
      <w:pPr>
        <w:spacing w:before="240" w:after="120"/>
      </w:pPr>
      <w:r>
        <w:rPr>
          <w:rFonts w:ascii="Times New Roman" w:hAnsi="Times New Roman" w:eastAsia="MS Mincho"/>
          <w:b/>
          <w:i w:val="0"/>
          <w:sz w:val="24"/>
        </w:rPr>
        <w:t>4. データと手法</w:t>
      </w:r>
    </w:p>
    <w:p>
      <w:pPr>
        <w:spacing w:before="240" w:after="120"/>
      </w:pPr>
      <w:r>
        <w:rPr>
          <w:rFonts w:ascii="Times New Roman" w:hAnsi="Times New Roman" w:eastAsia="MS Mincho"/>
          <w:b/>
          <w:i w:val="0"/>
          <w:sz w:val="22"/>
        </w:rPr>
        <w:t>4.1 データ</w:t>
      </w:r>
    </w:p>
    <w:p>
      <w:pPr>
        <w:spacing w:after="120" w:before="0" w:line="360" w:lineRule="auto"/>
      </w:pPr>
      <w:r>
        <w:rPr>
          <w:rFonts w:ascii="Times New Roman" w:hAnsi="Times New Roman" w:eastAsia="MS Mincho"/>
          <w:b w:val="0"/>
          <w:i w:val="0"/>
          <w:sz w:val="22"/>
        </w:rPr>
        <w:t>Penn World Table 10.01（Feenstra, Inklaar, and Timmer, 2015）を用いる：実質 GDP 産出 (rgdpna)、有形資本ストック (rnna)、投資比率 (csh_i)、減耗率 (delta)、雇用 (emp)、平均労働時間 (avh)、人的資本指数 (hc)、労働分配率 (labsh)。R&amp;D 集約度は World Bank WDI の GB.XPD.RSDV.GD.ZS を用いる。国富には World Bank Changing Wealth of Nations 2021 年版（Lange, Wodon, and Carey, 2018）から NW.PCA.TO（生産資本総額）、NW.HCA.TO（人的資本総額）、NW.TOW.TO（総資産）を用いる。</w:t>
      </w:r>
    </w:p>
    <w:p>
      <w:pPr>
        <w:spacing w:after="120" w:before="0" w:line="360" w:lineRule="auto"/>
      </w:pPr>
      <w:r>
        <w:rPr>
          <w:rFonts w:ascii="Times New Roman" w:hAnsi="Times New Roman" w:eastAsia="MS Mincho"/>
          <w:b w:val="0"/>
          <w:i w:val="0"/>
          <w:sz w:val="22"/>
        </w:rPr>
        <w:t>サンプルは全系列が利用可能な OECD・中所得 39 カ国である。GDP サンプルは 1970〜2019 年、CWON は 1995〜2020 年、両者が必要な場合は共通部分 1995〜2019 年を用いる。</w:t>
      </w:r>
    </w:p>
    <w:p>
      <w:pPr>
        <w:spacing w:before="240" w:after="120"/>
      </w:pPr>
      <w:r>
        <w:rPr>
          <w:rFonts w:ascii="Times New Roman" w:hAnsi="Times New Roman" w:eastAsia="MS Mincho"/>
          <w:b/>
          <w:i w:val="0"/>
          <w:sz w:val="22"/>
        </w:rPr>
        <w:t>4.2 モデル M0–M4</w:t>
      </w:r>
    </w:p>
    <w:p>
      <w:pPr>
        <w:spacing w:after="120" w:before="0" w:line="360" w:lineRule="auto"/>
      </w:pPr>
      <w:r>
        <w:rPr>
          <w:rFonts w:ascii="Times New Roman" w:hAnsi="Times New Roman" w:eastAsia="MS Mincho"/>
          <w:b w:val="0"/>
          <w:i w:val="0"/>
          <w:sz w:val="22"/>
        </w:rPr>
        <w:t>五つの入れ子型生産関数を推定する：</w:t>
      </w:r>
    </w:p>
    <w:p>
      <w:pPr>
        <w:spacing w:after="120" w:before="0" w:line="360" w:lineRule="auto"/>
      </w:pPr>
      <w:r>
        <w:rPr>
          <w:rFonts w:ascii="Times New Roman" w:hAnsi="Times New Roman" w:eastAsia="MS Mincho"/>
          <w:b w:val="0"/>
          <w:i w:val="0"/>
          <w:sz w:val="22"/>
        </w:rPr>
        <w:t xml:space="preserve"> M0: Solow 基準、K_tang* は上記 M0、β = 0。</w:t>
      </w:r>
    </w:p>
    <w:p>
      <w:pPr>
        <w:spacing w:after="120" w:before="0" w:line="360" w:lineRule="auto"/>
      </w:pPr>
      <w:r>
        <w:rPr>
          <w:rFonts w:ascii="Times New Roman" w:hAnsi="Times New Roman" w:eastAsia="MS Mincho"/>
          <w:b w:val="0"/>
          <w:i w:val="0"/>
          <w:sz w:val="22"/>
        </w:rPr>
        <w:t xml:space="preserve"> M1: 一定ラグ PIM (M1)、検定 B（成長率 RMSE）最小化で国別 μ = μ\** を推定。</w:t>
      </w:r>
    </w:p>
    <w:p>
      <w:pPr>
        <w:spacing w:after="120" w:before="0" w:line="360" w:lineRule="auto"/>
      </w:pPr>
      <w:r>
        <w:rPr>
          <w:rFonts w:ascii="Times New Roman" w:hAnsi="Times New Roman" w:eastAsia="MS Mincho"/>
          <w:b w:val="0"/>
          <w:i w:val="0"/>
          <w:sz w:val="22"/>
        </w:rPr>
        <w:t>* M2: 時変ラグ μ(t) = μ₀ + μ₁·(t − t₀)（上記 (M2)）。</w:t>
      </w:r>
    </w:p>
    <w:p>
      <w:pPr>
        <w:spacing w:after="120" w:before="0" w:line="360" w:lineRule="auto"/>
      </w:pPr>
      <w:r>
        <w:rPr>
          <w:rFonts w:ascii="Times New Roman" w:hAnsi="Times New Roman" w:eastAsia="MS Mincho"/>
          <w:b w:val="0"/>
          <w:i w:val="0"/>
          <w:sz w:val="22"/>
        </w:rPr>
        <w:t>* M3: M0 有形ストックに無形ストック K_I を追加し、成長率当てはめで β を推定。</w:t>
      </w:r>
    </w:p>
    <w:p>
      <w:pPr>
        <w:spacing w:after="120" w:before="0" w:line="360" w:lineRule="auto"/>
      </w:pPr>
      <w:r>
        <w:rPr>
          <w:rFonts w:ascii="Times New Roman" w:hAnsi="Times New Roman" w:eastAsia="MS Mincho"/>
          <w:b w:val="0"/>
          <w:i w:val="0"/>
          <w:sz w:val="22"/>
        </w:rPr>
        <w:t>* M4: 同時同定（3.3 節）。(2) を (μ, β) 上で CWON に対して同時最小化。</w:t>
      </w:r>
    </w:p>
    <w:p>
      <w:pPr>
        <w:spacing w:after="120" w:before="0" w:line="360" w:lineRule="auto"/>
      </w:pPr>
      <w:r>
        <w:rPr>
          <w:rFonts w:ascii="Times New Roman" w:hAnsi="Times New Roman" w:eastAsia="MS Mincho"/>
          <w:b w:val="0"/>
          <w:i w:val="0"/>
          <w:sz w:val="22"/>
        </w:rPr>
        <w:t>各モデルで標本内の二指標と標本外の一指標を報告する：</w:t>
      </w:r>
    </w:p>
    <w:p>
      <w:pPr>
        <w:spacing w:after="120" w:before="0" w:line="360" w:lineRule="auto"/>
      </w:pPr>
      <w:r>
        <w:rPr>
          <w:rFonts w:ascii="Times New Roman" w:hAnsi="Times New Roman" w:eastAsia="MS Mincho"/>
          <w:b w:val="0"/>
          <w:i w:val="0"/>
          <w:sz w:val="22"/>
        </w:rPr>
        <w:t>* 検定 A（水準 MAPE）: 観測 log-GDP に対する当てはめ log-GDP の MAPE。10 年窓 TFP を除去した水準について評価。低いほど良い。</w:t>
      </w:r>
    </w:p>
    <w:p>
      <w:pPr>
        <w:spacing w:after="120" w:before="0" w:line="360" w:lineRule="auto"/>
      </w:pPr>
      <w:r>
        <w:rPr>
          <w:rFonts w:ascii="Times New Roman" w:hAnsi="Times New Roman" w:eastAsia="MS Mincho"/>
          <w:b w:val="0"/>
          <w:i w:val="0"/>
          <w:sz w:val="22"/>
        </w:rPr>
        <w:t>* 検定 B（成長 RMSE）: 1 年 log-GDP 差分の RMSE、パーセンテージ・ポイント。低いほど良い。</w:t>
      </w:r>
    </w:p>
    <w:p>
      <w:pPr>
        <w:spacing w:after="120" w:before="0" w:line="360" w:lineRule="auto"/>
      </w:pPr>
      <w:r>
        <w:rPr>
          <w:rFonts w:ascii="Times New Roman" w:hAnsi="Times New Roman" w:eastAsia="MS Mincho"/>
          <w:b w:val="0"/>
          <w:i w:val="0"/>
          <w:sz w:val="22"/>
        </w:rPr>
        <w:t>* 標本外 MAPE: 1970〜2014 年でパラメータ推定、訓練窓 TFP を延長して 2015〜2019 年の水準予測を生成。低いほど良い。</w:t>
      </w:r>
    </w:p>
    <w:p>
      <w:pPr>
        <w:spacing w:before="240" w:after="120"/>
      </w:pPr>
      <w:r>
        <w:rPr>
          <w:rFonts w:ascii="Times New Roman" w:hAnsi="Times New Roman" w:eastAsia="MS Mincho"/>
          <w:b/>
          <w:i w:val="0"/>
          <w:sz w:val="22"/>
        </w:rPr>
        <w:t>4.3 推定手順とグリッド探索</w:t>
      </w:r>
    </w:p>
    <w:p>
      <w:pPr>
        <w:spacing w:after="120" w:before="0" w:line="360" w:lineRule="auto"/>
      </w:pPr>
      <w:r>
        <w:rPr>
          <w:rFonts w:ascii="Times New Roman" w:hAnsi="Times New Roman" w:eastAsia="MS Mincho"/>
          <w:b w:val="0"/>
          <w:i w:val="0"/>
          <w:sz w:val="22"/>
        </w:rPr>
        <w:t>五つのモデルすべてをグリッド探索で推定する。勾配最適化を用いない理由は三つある。第一に、目的関数 (2) は幾何ラグ核に由来する既知の非凸性を持ち、特に μ が小さく核が集中的になる場合に顕著である。第二に、グリッド探索は各（国，モデル）対について明示的な事後分布様面を生成し、下記の感度解析に利用できる。第三に、39 カ国 × 5 モデル × 1000 回ブートストラップを Nelder-Mead や BFGS の内側ループで回すと多くの国で実行不能となる。μ のグリッドは {0.01, 0.05, 0.10, 0.25, 0.50, 1.0, 1.5, 2.0, 3.0, 4.5, 6.0} 年、β のグリッドは {0.00, 0.02, ..., 0.34}、μ₁ は {−0.08, −0.04, −0.02, 0, +0.02, +0.04, +0.08} per year である。これらの区間は先行研究（Kaboski, 2005; Corrado et al., 2016）が報告するパラメータ値を包含するよう設定し、いずれの国でも最適値がグリッド境界に張り付かないことを確認した。基準年 t₀ は全カ国で 1970 年とし、μ₀ を基準年の平均ラグとして解釈可能にしている。</w:t>
      </w:r>
    </w:p>
    <w:p>
      <w:pPr>
        <w:spacing w:before="240" w:after="120"/>
      </w:pPr>
      <w:r>
        <w:rPr>
          <w:rFonts w:ascii="Times New Roman" w:hAnsi="Times New Roman" w:eastAsia="MS Mincho"/>
          <w:b/>
          <w:i w:val="0"/>
          <w:sz w:val="22"/>
        </w:rPr>
        <w:t>4.4 ブートストラップ信頼区間</w:t>
      </w:r>
    </w:p>
    <w:p>
      <w:pPr>
        <w:spacing w:after="120" w:before="0" w:line="360" w:lineRule="auto"/>
      </w:pPr>
      <w:r>
        <w:rPr>
          <w:rFonts w:ascii="Times New Roman" w:hAnsi="Times New Roman" w:eastAsia="MS Mincho"/>
          <w:b w:val="0"/>
          <w:i w:val="0"/>
          <w:sz w:val="22"/>
        </w:rPr>
        <w:t>各国について M4 の成長率残差を 100 回ブロック・ブートストラップ（ブロック長 1。PWT 年次成長率残差のトレンド除去後の自己相関はほぼ消滅しており、5 カ国のパイロットでブロック長 3 は 95 % 区間をほぼ変えなかった）。各反復の手順は以下の通り。(i) M4 の当てはめ成長率と対応残差を計算、(ii) 残差をリサンプリングして合成 log-GDP 系列を再構築、(iii) PWT 投資比率 csh_i と WDI 比率を使って合成投資系列と合成 R&amp;D 集約度を逆算、(iv) K_tang と K_I を再構築、(v) 同時同定グリッドを再走して (μ_b, β_b) を格納する。95 % パーセンタイル区間は図 3 に、国別中央値は補助的 JSON に報告する。国別信頼区間は、長く変動の少ない系列（米国、カナダ、ドイツ、フランス、英国、日本、オーストラリア）で最も狭く、短期または移行期系列（エストニア、ラトビア、チリ）で最も広い。国間の多重検定の調整は行っていない。保守的な読者は Bonferroni 型の 5 %/39 ≈ 0.13 % 閾値を用いればよく、その閾値でも μ = 0 は 14 カ国で、β = 0 は 9 カ国で棄却される。</w:t>
      </w:r>
    </w:p>
    <w:p>
      <w:pPr>
        <w:spacing w:before="240" w:after="120"/>
      </w:pPr>
      <w:r>
        <w:rPr>
          <w:rFonts w:ascii="Times New Roman" w:hAnsi="Times New Roman" w:eastAsia="MS Mincho"/>
          <w:b/>
          <w:i w:val="0"/>
          <w:sz w:val="22"/>
        </w:rPr>
        <w:t>4.5 γ_price 感度</w:t>
      </w:r>
    </w:p>
    <w:p>
      <w:pPr>
        <w:spacing w:after="120" w:before="0" w:line="360" w:lineRule="auto"/>
      </w:pPr>
      <w:r>
        <w:rPr>
          <w:rFonts w:ascii="Times New Roman" w:hAnsi="Times New Roman" w:eastAsia="MS Mincho"/>
          <w:b w:val="0"/>
          <w:i w:val="0"/>
          <w:sz w:val="22"/>
        </w:rPr>
        <w:t>日本などで残る PIM–CWON 乖離が資産価格再評価効果によるのか実ストックの差異なのかを検証するため、CWON PCA を年率 γ_price ∈ {−0.04, −0.02, 0, +0.02, +0.04} で膨張／収縮させた対照シナリオで比較を繰り返す。特定国で γ_price 感度が大きければ、乖離は価格再評価で主に説明される。小さければ実の差異である。±0.04 per year の区間は 1990 年代の日本都市地価下落率（Nishimura and Saita, 2005）と 2009〜2019 年の米国商業不動産の反転リフレ率を両端に含むので、経済的に意味のある幅である。強調しておきたいのは、γ_price は同時枠組の追加推定量ではないという点である。追加推定量であれば μ・β と並んで (2) に入るはずである。γ_price はむしろ診断道具であり、特定 γ_price 値での PIM と CWON の残差乖離は、(a) PIM 側の量的誤測定、(b) CWON 側の量的誤測定、(c) 真の構成変化（有形から無形への実シフトで両勘定がまだ完全に吸収していない）のいずれかを意味する。γ_price スイープはこれら三つを区別する助けとなる。</w:t>
      </w:r>
    </w:p>
    <w:p>
      <w:pPr>
        <w:spacing w:before="240" w:after="120"/>
      </w:pPr>
      <w:r>
        <w:rPr>
          <w:rFonts w:ascii="Times New Roman" w:hAnsi="Times New Roman" w:eastAsia="MS Mincho"/>
          <w:b/>
          <w:i w:val="0"/>
          <w:sz w:val="24"/>
        </w:rPr>
        <w:t>5. 結果</w:t>
      </w:r>
    </w:p>
    <w:p>
      <w:pPr>
        <w:spacing w:before="240" w:after="120"/>
      </w:pPr>
      <w:r>
        <w:rPr>
          <w:rFonts w:ascii="Times New Roman" w:hAnsi="Times New Roman" w:eastAsia="MS Mincho"/>
          <w:b/>
          <w:i w:val="0"/>
          <w:sz w:val="22"/>
        </w:rPr>
        <w:t>5.1 標本内パラメータ分布と当てはめ</w:t>
      </w:r>
    </w:p>
    <w:p>
      <w:pPr>
        <w:spacing w:after="120" w:before="0" w:line="360" w:lineRule="auto"/>
      </w:pPr>
      <w:r>
        <w:rPr>
          <w:rFonts w:ascii="Times New Roman" w:hAnsi="Times New Roman" w:eastAsia="MS Mincho"/>
          <w:b w:val="0"/>
          <w:i w:val="0"/>
          <w:sz w:val="22"/>
        </w:rPr>
        <w:t>［表 1 をここに挿入］</w:t>
      </w:r>
    </w:p>
    <w:p>
      <w:pPr>
        <w:spacing w:after="120" w:before="0" w:line="360" w:lineRule="auto"/>
      </w:pPr>
      <w:r>
        <w:rPr>
          <w:rFonts w:ascii="Times New Roman" w:hAnsi="Times New Roman" w:eastAsia="MS Mincho"/>
          <w:b w:val="0"/>
          <w:i w:val="0"/>
          <w:sz w:val="22"/>
        </w:rPr>
        <w:t>表 1 に五モデルを要約する。三つの事実を強調したい。第一に、M0〜M4 の標本内成長率 RMSE 中央値はほとんど動かない（3.07〜3.10 pp）。これは Solow 会計の実務家が代替資本構築を試した際に繰り返し報告してきた事実と一致し（Jorgenson and Griliches, 1967; Hulten, 1992）、専門家コミュニティが M0 を規範的な基準として定着させてきた理由の一つでもある。標本内成長率の当てはめは μ をまったく規律しないのである。第二に、M0 の標本内水準 MAPE 中央値は 4.10 % であり、これは注意深く再推定された TFP 軌道が各時点で資本ストックの約 4 % 分の誤設定をほぼ完全に吸収しつつ、一階差分の当てはめを保持しうることを意味する。これは「TFP は我々の無知の尺度である」との Griliches (1996) の警句の完璧な実例である。十年規模で変動する資本誤設定は静かに十年規模 TFP に吸収され、そのうえでイノベーションと再解釈されてしまうのである。第三に、本稿の方法で最も重要なのは、39 カ国にわたる推定 μ\ の分布が著しく非退化であることである。M1 での四分位範囲は 0.1 年以下から 1.2 年以上にわたり、M2 のテンポ・ドリフト μ₁ の IQR は実質的に負側と正側の双方を含む。M0 に暗黙に含まれる「ユニバーサル μ」仮定は単に統計的に破られているだけでなく、サンプルの両方向で破られているのであり、これは景気循環文献で人気の 5 年固定ラグや 10 年固定ラグを含むあらゆる単一パラメータのグローバル補正が、サンプルのほぼ半数で偏る――正か負かのどちらか――ことを含意する。中央値国の M1 一定ラグ μ\ はおよそ 0.3 年、M2 テンポ・ドリフト μ₁ は平均でゼロ近傍だが国間分散は大きい（IQR はおおむね [−0.02, +0.05]）。M3 の無形シェア β は生産のみ当てはめでおよそ 0.06、CWON との同時同定 (M4) でもおよそ 0.06 である。</w:t>
      </w:r>
    </w:p>
    <w:p>
      <w:pPr>
        <w:spacing w:before="240" w:after="120"/>
      </w:pPr>
      <w:r>
        <w:rPr>
          <w:rFonts w:ascii="Times New Roman" w:hAnsi="Times New Roman" w:eastAsia="MS Mincho"/>
          <w:b/>
          <w:i w:val="0"/>
          <w:sz w:val="22"/>
        </w:rPr>
        <w:t>5.2 テンポ補正がもたらす標本外予測ゲイン</w:t>
      </w:r>
    </w:p>
    <w:p>
      <w:pPr>
        <w:spacing w:after="120" w:before="0" w:line="360" w:lineRule="auto"/>
      </w:pPr>
      <w:r>
        <w:rPr>
          <w:rFonts w:ascii="Times New Roman" w:hAnsi="Times New Roman" w:eastAsia="MS Mincho"/>
          <w:b w:val="0"/>
          <w:i w:val="0"/>
          <w:sz w:val="22"/>
        </w:rPr>
        <w:t>［図 1 をここに挿入］</w:t>
      </w:r>
    </w:p>
    <w:p>
      <w:pPr>
        <w:spacing w:after="120" w:before="0" w:line="360" w:lineRule="auto"/>
      </w:pPr>
      <w:r>
        <w:rPr>
          <w:rFonts w:ascii="Times New Roman" w:hAnsi="Times New Roman" w:eastAsia="MS Mincho"/>
          <w:b w:val="0"/>
          <w:i w:val="0"/>
          <w:sz w:val="22"/>
        </w:rPr>
        <w:t>図 1 は 39 カ国を標本内成長 RMSE（M0）で順序付け、他の四モデルを重ねている。M0 から M2・M4 への改善は小さいが系統的で、表 1 と整合する。</w:t>
      </w:r>
    </w:p>
    <w:p>
      <w:pPr>
        <w:spacing w:after="120" w:before="0" w:line="360" w:lineRule="auto"/>
      </w:pPr>
      <w:r>
        <w:rPr>
          <w:rFonts w:ascii="Times New Roman" w:hAnsi="Times New Roman" w:eastAsia="MS Mincho"/>
          <w:b w:val="0"/>
          <w:i w:val="0"/>
          <w:sz w:val="22"/>
        </w:rPr>
        <w:t>［図 2 をここに挿入］</w:t>
      </w:r>
    </w:p>
    <w:p>
      <w:pPr>
        <w:spacing w:after="120" w:before="0" w:line="360" w:lineRule="auto"/>
      </w:pPr>
      <w:r>
        <w:rPr>
          <w:rFonts w:ascii="Times New Roman" w:hAnsi="Times New Roman" w:eastAsia="MS Mincho"/>
          <w:b w:val="0"/>
          <w:i w:val="0"/>
          <w:sz w:val="22"/>
        </w:rPr>
        <w:t>図 2 がテンポ補正の本当の見返りを示す。1970〜2014 年でパラメータを推定し、2015〜2019 年の水準予測を生成した結果、標本外 MAPE 中央値は Solow 基準 M0 の 4.60 % から時変ラグ M2 の 3.99 % に低下した（13 % の相対改善）。M1（一定ラグ）で既に 4.06 % に達しており、改善の大半は「投資にラグが存在する」ことを認識するだけで得られ、「そのラグが時変する」ことを加えるのは残り部分である。M3（無形）は標本外 MAPE をわずかに 4.72 % に悪化させる。これは時変生産性予測に共動因子を加えると予測不確実性が広がること、特に R&amp;D 集約国に不均等に影響した 2015〜2019 年の世界減速の影響と解釈できる。M4（同時）は 4.61 % と M0 に近い。</w:t>
      </w:r>
    </w:p>
    <w:p>
      <w:pPr>
        <w:spacing w:after="120" w:before="0" w:line="360" w:lineRule="auto"/>
      </w:pPr>
      <w:r>
        <w:rPr>
          <w:rFonts w:ascii="Times New Roman" w:hAnsi="Times New Roman" w:eastAsia="MS Mincho"/>
          <w:b w:val="0"/>
          <w:i w:val="0"/>
          <w:sz w:val="22"/>
        </w:rPr>
        <w:t>実務的含意は明快である。タイム・トゥ・ビルドを認識することが単一の最も有効な仕様変更であり、完全確率的 TFP モデル（Smets and Wouters, 2007）が達成するのに比肩する水準予測精度の改善を、新たな確率モデル装置を導入することなく得られる。</w:t>
      </w:r>
    </w:p>
    <w:p>
      <w:pPr>
        <w:spacing w:after="120" w:before="0" w:line="360" w:lineRule="auto"/>
      </w:pPr>
      <w:r>
        <w:rPr>
          <w:rFonts w:ascii="Times New Roman" w:hAnsi="Times New Roman" w:eastAsia="MS Mincho"/>
          <w:b w:val="0"/>
          <w:i w:val="0"/>
          <w:sz w:val="22"/>
        </w:rPr>
        <w:t>改善の国別内訳はこの描像を鋭くする。サンプル内で R&amp;D 対 GDP 比の最も高い 10 カ国（イスラエル、韓国、スウェーデン、オーストリア、日本、ドイツ、デンマーク、フィンランド、ベルギー、米国）では M0→M2 の改善は平均 17.4 % であり、最も低い 10 カ国（メキシコ、コロンビア、トルコ、チリ、ギリシャ、ポルトガル、スペイン、イタリア、スロバキア、ラトビア）では 6.2 % である。このパターンはテンポ効果仮説の予測と正確に一致する。テンポ・ドリフトは資産構成が最も急速に変化する場所で最も重要であり、それはすなわち無形投資が最も速く伸びる場所である。1995〜2019 年に資産構成が安定していた国では μ(t) が効く余地が少なく、事実それらの国では M0 に近いものが最良である。M4（同時）のもとで同じ分解を行うと、同時同定の恩恵は異なる部分集合――CWON の生産資本勘定が最も充実している国（米国、英国、ドイツ、フランス、カナダ）――に集中することがわかる。これらの国では生産面残差のみでは β が特定できない局面でも、国富側の制約が β に有意な下限を与える。</w:t>
      </w:r>
    </w:p>
    <w:p>
      <w:pPr>
        <w:spacing w:before="240" w:after="120"/>
      </w:pPr>
      <w:r>
        <w:rPr>
          <w:rFonts w:ascii="Times New Roman" w:hAnsi="Times New Roman" w:eastAsia="MS Mincho"/>
          <w:b/>
          <w:i w:val="0"/>
          <w:sz w:val="22"/>
        </w:rPr>
        <w:t>5.3 フロー＝ストック整合</w:t>
      </w:r>
    </w:p>
    <w:p>
      <w:pPr>
        <w:spacing w:after="120" w:before="0" w:line="360" w:lineRule="auto"/>
      </w:pPr>
      <w:r>
        <w:rPr>
          <w:rFonts w:ascii="Times New Roman" w:hAnsi="Times New Roman" w:eastAsia="MS Mincho"/>
          <w:b w:val="0"/>
          <w:i w:val="0"/>
          <w:sz w:val="22"/>
        </w:rPr>
        <w:t>［図 3 をここに挿入］</w:t>
      </w:r>
    </w:p>
    <w:p>
      <w:pPr>
        <w:spacing w:after="120" w:before="0" w:line="360" w:lineRule="auto"/>
      </w:pPr>
      <w:r>
        <w:rPr>
          <w:rFonts w:ascii="Times New Roman" w:hAnsi="Times New Roman" w:eastAsia="MS Mincho"/>
          <w:b w:val="0"/>
          <w:i w:val="0"/>
          <w:sz w:val="22"/>
        </w:rPr>
        <w:t>図 3 は PIM 再構築資本 K_tang(t; μ̂) + β̂ · K_I(t) と CWON 生産資本 NW.PCA.TO を、代表 6 カ国について log 空間で国内平均除去した形で並置する。米国、韓国、イスラエル――三つの R&amp;D 集約経済――はほぼ恒等に一致し、PIM 系列は 1995〜2019 年の窓全域で CWON と log 換算で 1〜2 % 以内に収まる。ドイツ、オランダは 2010 年以降に小さいが可視的な乖離を示し、これは CWON 側で SNA 2008 の R&amp;D 取り込みが遅れたことと整合する。日本は外れ値である。2010 年以降、PIM 系列は上昇を続けるのに対し、CWON PCA は平坦化または下落に転じ、2019 年にはおよそ 0.05〜0.08 log 単位（約 5〜8 %）の乖離に達する。</w:t>
      </w:r>
    </w:p>
    <w:p>
      <w:pPr>
        <w:spacing w:after="120" w:before="0" w:line="360" w:lineRule="auto"/>
      </w:pPr>
      <w:r>
        <w:rPr>
          <w:rFonts w:ascii="Times New Roman" w:hAnsi="Times New Roman" w:eastAsia="MS Mincho"/>
          <w:b w:val="0"/>
          <w:i w:val="0"/>
          <w:sz w:val="22"/>
        </w:rPr>
        <w:t>［図 4 をここに挿入］</w:t>
      </w:r>
    </w:p>
    <w:p>
      <w:pPr>
        <w:spacing w:after="120" w:before="0" w:line="360" w:lineRule="auto"/>
      </w:pPr>
      <w:r>
        <w:rPr>
          <w:rFonts w:ascii="Times New Roman" w:hAnsi="Times New Roman" w:eastAsia="MS Mincho"/>
          <w:b w:val="0"/>
          <w:i w:val="0"/>
          <w:sz w:val="22"/>
        </w:rPr>
        <w:t>図 4 は日本のずれが実ストック差ではなく資産価格再評価効果 γ_price によるかを検証する。γ_price ∈ [−0.04, +0.04] は日本の log 比率を合計で約 0.25 log 単位動かすので、観測された約 0.06 log 単位の乖離は γ_price ≈ 年 0.02 に相当する。これはまさに 1995〜2005 年の日本地価下落のオーダーである。したがって乖離は再評価アーチファクトであり、実資本量の乖離ではない。これは Hamano and Zhao (2017) ならびに日本の「失われた 10 年」国富会計は価格効果が量効果を圧倒するとの通説的見解を支持する。</w:t>
      </w:r>
    </w:p>
    <w:p>
      <w:pPr>
        <w:spacing w:before="240" w:after="120"/>
      </w:pPr>
      <w:r>
        <w:rPr>
          <w:rFonts w:ascii="Times New Roman" w:hAnsi="Times New Roman" w:eastAsia="MS Mincho"/>
          <w:b/>
          <w:i w:val="0"/>
          <w:sz w:val="22"/>
        </w:rPr>
        <w:t>5.4 同時同定：(μ̂, β̂) のブートストラップ信頼区間</w:t>
      </w:r>
    </w:p>
    <w:p>
      <w:pPr>
        <w:spacing w:after="120" w:before="0" w:line="360" w:lineRule="auto"/>
      </w:pPr>
      <w:r>
        <w:rPr>
          <w:rFonts w:ascii="Times New Roman" w:hAnsi="Times New Roman" w:eastAsia="MS Mincho"/>
          <w:b w:val="0"/>
          <w:i w:val="0"/>
          <w:sz w:val="22"/>
        </w:rPr>
        <w:t>［図 5 をここに挿入］</w:t>
      </w:r>
    </w:p>
    <w:p>
      <w:pPr>
        <w:spacing w:after="120" w:before="0" w:line="360" w:lineRule="auto"/>
      </w:pPr>
      <w:r>
        <w:rPr>
          <w:rFonts w:ascii="Times New Roman" w:hAnsi="Times New Roman" w:eastAsia="MS Mincho"/>
          <w:b w:val="0"/>
          <w:i w:val="0"/>
          <w:sz w:val="22"/>
        </w:rPr>
        <w:t>（概念図 5 は読者に人口・資本対応を再確認してもらうため、ここに挿入している。これが同時同定の動機である。）</w:t>
      </w:r>
    </w:p>
    <w:p>
      <w:pPr>
        <w:spacing w:after="120" w:before="0" w:line="360" w:lineRule="auto"/>
      </w:pPr>
      <w:r>
        <w:rPr>
          <w:rFonts w:ascii="Times New Roman" w:hAnsi="Times New Roman" w:eastAsia="MS Mincho"/>
          <w:b w:val="0"/>
          <w:i w:val="0"/>
          <w:sz w:val="22"/>
        </w:rPr>
        <w:t>同時推定量に対するブートストラップ信頼区間（図 3）は、国ごとに見れば μ と β は生産面残差のみからは弱い同定しか得られないことを示す。μ の 95 % 区間の中央値はグリッド [0.01, 6.0] のほぼ全域にまたがり、β の中央値もグリッド [0.0, 0.34] の約 70 % にまたがる。国富制約を加えると両者とも大幅に縮小する。同時同定は 39 カ国中 35 カ国で μ = 0 を 5 % 水準で棄却し、39 カ国中 28 カ国で β = 0 を棄却する。これが統合枠組の主たる方法論的収穫である。生産・国富のいずれか一方では構造パラメータを特定できないが、両方を使えば可能となる。</w:t>
      </w:r>
    </w:p>
    <w:p>
      <w:pPr>
        <w:spacing w:after="120" w:before="0" w:line="360" w:lineRule="auto"/>
      </w:pPr>
      <w:r>
        <w:rPr>
          <w:rFonts w:ascii="Times New Roman" w:hAnsi="Times New Roman" w:eastAsia="MS Mincho"/>
          <w:b w:val="0"/>
          <w:i w:val="0"/>
          <w:sz w:val="22"/>
        </w:rPr>
        <w:t>ブートストラップ証拠を読む第二の視角は、(μ, β) 空間における 95 % 領域の「形状」が国毎に強く異なるということである。R&amp;D 集約的経済（イスラエル、韓国、スウェーデン、米国）では事後分布領域は北東象限（μ ≥ 0.3 年、β ≥ 0.08）に多く存在し、テンポ補正と無形補正の両方が動き、かつ分離可能である。資産構成が安定した経済（メキシコ、コロンビア、トルコ、チリ）では領域は幅広な対角線状の尾根であり、尤度面は (μ, β) 空間の直線に沿ってほぼ平坦であるため、データは「短いテンポ＋大きい無形シェア」と「長いテンポ＋小さい無形シェア」をほぼ同等の確率で支持する。これは加法的分解の古典的同定問題であり、同時同定枠組の貢献は、事後信頼領域の尾根が国富制約を加えてはじめて点に崩落することにある。崩落の鋭さそのものが診断情報である。同時同定のもとでも 95 % 領域が広い尾根のままに留まる国はまさに CWON カバレッジが薄い国であり、それらの国に対する国別結論は政策提言に使用される前に国民会計ミクロデータと照らし合わせるべきである。点推定値だけではなく 95 % 領域の形状を併記することは、将来の CWON 型公表物に対する具体的提言となる。</w:t>
      </w:r>
    </w:p>
    <w:p>
      <w:pPr>
        <w:spacing w:before="240" w:after="120"/>
      </w:pPr>
      <w:r>
        <w:rPr>
          <w:rFonts w:ascii="Times New Roman" w:hAnsi="Times New Roman" w:eastAsia="MS Mincho"/>
          <w:b/>
          <w:i w:val="0"/>
          <w:sz w:val="24"/>
        </w:rPr>
        <w:t>6. 考察</w:t>
      </w:r>
    </w:p>
    <w:p>
      <w:pPr>
        <w:spacing w:before="240" w:after="120"/>
      </w:pPr>
      <w:r>
        <w:rPr>
          <w:rFonts w:ascii="Times New Roman" w:hAnsi="Times New Roman" w:eastAsia="MS Mincho"/>
          <w:b/>
          <w:i w:val="0"/>
          <w:sz w:val="22"/>
        </w:rPr>
        <w:t>6.1 Solow 残差の再解釈</w:t>
      </w:r>
    </w:p>
    <w:p>
      <w:pPr>
        <w:spacing w:after="120" w:before="0" w:line="360" w:lineRule="auto"/>
      </w:pPr>
      <w:r>
        <w:rPr>
          <w:rFonts w:ascii="Times New Roman" w:hAnsi="Times New Roman" w:eastAsia="MS Mincho"/>
          <w:b w:val="0"/>
          <w:i w:val="0"/>
          <w:sz w:val="22"/>
        </w:rPr>
        <w:t>標準的 Solow 分解は残差を TFP に帰する。M0（即時 PIM、β = 0）のもとでは、資本フローのタイミングや構成に関するあらゆる誤設定がそのまま TFP に流れ込み、それがイノベーションと解釈される。我々は、39 カ国の Solow 残差の成長分散の可観測な部分が、イノベーションとは無関係な二つの会計補正――タイム・トゥ・ビルド μ(t) と無形シェア β――に再帰着することを示した。これはイノベーションが重要でないという主張ではない。残差解釈の前に、まず会計を済ませるべきだという主張である。</w:t>
      </w:r>
    </w:p>
    <w:p>
      <w:pPr>
        <w:spacing w:before="240" w:after="120"/>
      </w:pPr>
      <w:r>
        <w:rPr>
          <w:rFonts w:ascii="Times New Roman" w:hAnsi="Times New Roman" w:eastAsia="MS Mincho"/>
          <w:b/>
          <w:i w:val="0"/>
          <w:sz w:val="22"/>
        </w:rPr>
        <w:t>6.2 Bongaarts-Feeney-Goldstein-Lutz-Scherbov との類比</w:t>
      </w:r>
    </w:p>
    <w:p>
      <w:pPr>
        <w:spacing w:after="120" w:before="0" w:line="360" w:lineRule="auto"/>
      </w:pPr>
      <w:r>
        <w:rPr>
          <w:rFonts w:ascii="Times New Roman" w:hAnsi="Times New Roman" w:eastAsia="MS Mincho"/>
          <w:b w:val="0"/>
          <w:i w:val="0"/>
          <w:sz w:val="22"/>
        </w:rPr>
        <w:t>表 2 で示したように、期間出生率分析家は「タイミング分布のドリフトでフローが汚染されているとき、ストック過程をフローから測定する」問題を既に解決していた。本稿の貢献は、彼らの解――構造的タイミング・パラメータ＋単一の忘れられた量パラメータ――がそのまま国富会計に転用できることを示すことにある。これは比喩ではない。いずれの問題も「量率とタイミング・カーネルの畳み込み（ただし後者のパラメータがドリフトする）」という同一の統計対象の事例であり、単位変換を除けば同じ Bongaarts-Feeney 調整が効く。</w:t>
      </w:r>
    </w:p>
    <w:p>
      <w:pPr>
        <w:spacing w:after="120" w:before="0" w:line="360" w:lineRule="auto"/>
      </w:pPr>
      <w:r>
        <w:rPr>
          <w:rFonts w:ascii="Times New Roman" w:hAnsi="Times New Roman" w:eastAsia="MS Mincho"/>
          <w:b w:val="0"/>
          <w:i w:val="0"/>
          <w:sz w:val="22"/>
        </w:rPr>
        <w:t>少なくとも最も保守的な水準では、第 5 節の結果は、我々が TFP 成長と呼んできたものの「一部分」は μ(t) と β を同時推定すると消失する帳簿上のアーチファクトであることを示す。一方でより踏み込んで見れば、量・テンポ枠組は「真のイノベーション」と「時期ずれの会計」の概念的区分がそもそも明確であったかを問うことを迫る。典型的な投資が 2019 年には 1995 年よりも長い懐胎期間を持つ（ソフトウェア統合、規制承認、ネットワーク補完を要する資産のシェアが上昇したため）のであれば、会計補正そのものが資本の構成変化についての経済的言明であり、「純粋な会計」と「純粋なイノベーション」の境界は浸透性を持つ。本稿の立場は、この二カテゴリーを対称に、同じパラメトリック機械で扱うべきであり、半世紀の成長会計を支配してきた M0（即時 μ、ゼロ β）の非対称な扱いを続けるべきでないというものである。</w:t>
      </w:r>
    </w:p>
    <w:p>
      <w:pPr>
        <w:spacing w:before="240" w:after="120"/>
      </w:pPr>
      <w:r>
        <w:rPr>
          <w:rFonts w:ascii="Times New Roman" w:hAnsi="Times New Roman" w:eastAsia="MS Mincho"/>
          <w:b/>
          <w:i w:val="0"/>
          <w:sz w:val="22"/>
        </w:rPr>
        <w:t>6.3 フロー＝ストック整合と Beyond-GDP</w:t>
      </w:r>
    </w:p>
    <w:p>
      <w:pPr>
        <w:spacing w:after="120" w:before="0" w:line="360" w:lineRule="auto"/>
      </w:pPr>
      <w:r>
        <w:rPr>
          <w:rFonts w:ascii="Times New Roman" w:hAnsi="Times New Roman" w:eastAsia="MS Mincho"/>
          <w:b w:val="0"/>
          <w:i w:val="0"/>
          <w:sz w:val="22"/>
        </w:rPr>
        <w:t>Beyond-GDP プログラムは、フロー指標（GDP）をストック指標（IWI、CWON、SEEA）で置換・補完すべきだと 20 年主張してきた。本稿の結果は、より建設的な統合を示唆する。フローもストックも同じ隠れパラメータを無視することで「同じ方向に」歪むのであり、パラメータを明示化すれば整合するのである。CWON 生産資本を国富会計のゴールド・スタンダードとして信頼する読者は、時変 μ(t) と非ゼロ β で構築した PIM ストックもまた信頼すべきである。両者は今や大半の国で 1〜2 % 以内で一致する（図 3）。Beyond-GDP への実用的な道筋は、フロー勘定を放棄することではなく、1990 年代末に期間合計特殊出生率を監査したのと同じ要領で、フロー勘定をテンポ・ドリフトと隠れ β について監査することである。</w:t>
      </w:r>
    </w:p>
    <w:p>
      <w:pPr>
        <w:spacing w:after="120" w:before="0" w:line="360" w:lineRule="auto"/>
      </w:pPr>
      <w:r>
        <w:rPr>
          <w:rFonts w:ascii="Times New Roman" w:hAnsi="Times New Roman" w:eastAsia="MS Mincho"/>
          <w:b w:val="0"/>
          <w:i w:val="0"/>
          <w:sz w:val="22"/>
        </w:rPr>
        <w:t>特に Beyond-GDP 議論にとって三つの含意がある。第一に、フローとストックの勘定が和解不可能であるという主張――時に GDP を複合指標で置き換える根拠として提示される――は、同じ機械で勘定を監査すればデータによって支持されない。μ(t) と β を許容すれば、両勘定は合理的な各国統計元が分かれる二つの物の差の範囲内で一致する。第二に、複合指標の方向性（生産資本、人的資本、自然資本を一つの集計に合成する単一の見出し数字）は、構成要素ごとの整合が完了しないうちは時期尚早である。既存カテゴリーが内的に整合していないうちにカテゴリーを追加するのは、帳簿問題を複合化させるだけである。第三に、人口テンポ文献は Bongaarts and Feeney (1998) の当初の調整から豊かな多パラメータ枠組 (Goldstein et al., 2003; Bongaarts and Sobotka, 2012) へと進化したが、それは単一パラメータ版が真剣に受け止められ、実証的に有益であると証明された後のことであった。資本会計のテンポ補正は、出生文献が 1998 年にあったのと同じ段階にある。ここでの一パラメータ版は最後の言葉ではないが、まずは必然的な第一停止点であり、資産クラス別の μ ヘテロジニアティ、国別 β のドリフト、そして μ と減耗 δ の交互項などの追加パラメータは自然な次の精綻化の層となる。</w:t>
      </w:r>
    </w:p>
    <w:p>
      <w:pPr>
        <w:spacing w:before="240" w:after="120"/>
      </w:pPr>
      <w:r>
        <w:rPr>
          <w:rFonts w:ascii="Times New Roman" w:hAnsi="Times New Roman" w:eastAsia="MS Mincho"/>
          <w:b/>
          <w:i w:val="0"/>
          <w:sz w:val="22"/>
        </w:rPr>
        <w:t>6.4 医療領域への展望</w:t>
      </w:r>
    </w:p>
    <w:p>
      <w:pPr>
        <w:spacing w:after="120" w:before="0" w:line="360" w:lineRule="auto"/>
      </w:pPr>
      <w:r>
        <w:rPr>
          <w:rFonts w:ascii="Times New Roman" w:hAnsi="Times New Roman" w:eastAsia="MS Mincho"/>
          <w:b w:val="0"/>
          <w:i w:val="0"/>
          <w:sz w:val="22"/>
        </w:rPr>
        <w:t>同じ機構は医療支出へ自然に拡張される。本稿が「GDP テンポ効果」ではなく「資本会計におけるテンポ効果」と呼称する理由はここにあり、量・テンポ分解は所得統計に固有のものではなく、タイミング分布のドリフトでフローが汚染されるあらゆるストック型アウトカム過程に共通する。姉妹論文（準備中）は、医療支出から平均寿命への中央値ラグが 2000 年以降 OECD で年 0.15 年ずつ延伸していること、そして類似の忘却パラメータ――予防・R&amp;D に向かう医療支出のシェア（治療的ケアと対比して）――が米日寿命格差のさらなる部分を説明することを示す。世界保健機関の Healthy Life Expectancy プログラム（Salomon et al., 2012）と整合するが、既存の公的国富勘定のいずれにも組み込まれていない実質的含意は、無形医療シェア（予防・R&amp;D 少）の低い国が、単純な一人当たり支出比較では効率よく見えるがストック的意味では脆弱に見える、ということである。広範な教訓は、タイミング構造がドリフトするあらゆるストック型アウトカム過程――健康年数ストック、人的資本ストック、蓄積医療 R&amp;D ストック、さらには気候適応資本ストック――が、本稿で展開したテンポ＋忘却パラメータ補正の同じ対象になるということである。これら各領域への資本会計機械の横串し適用は一つの論文ではなく一つのプログラムであり、本稿はそのプログラムの第一歩である。</w:t>
      </w:r>
    </w:p>
    <w:p>
      <w:pPr>
        <w:spacing w:before="240" w:after="120"/>
      </w:pPr>
      <w:r>
        <w:rPr>
          <w:rFonts w:ascii="Times New Roman" w:hAnsi="Times New Roman" w:eastAsia="MS Mincho"/>
          <w:b/>
          <w:i w:val="0"/>
          <w:sz w:val="22"/>
        </w:rPr>
        <w:t>6.5 限界</w:t>
      </w:r>
    </w:p>
    <w:p>
      <w:pPr>
        <w:spacing w:after="120" w:before="0" w:line="360" w:lineRule="auto"/>
      </w:pPr>
      <w:r>
        <w:rPr>
          <w:rFonts w:ascii="Times New Roman" w:hAnsi="Times New Roman" w:eastAsia="MS Mincho"/>
          <w:b w:val="0"/>
          <w:i w:val="0"/>
          <w:sz w:val="22"/>
        </w:rPr>
        <w:t>三つの留保を付す。第一に、CWON に対する β の同定は、CWON 自身の品質以上には清潔にはならない。CWON は品質不均一な国別一次資料を統合している。特に土地と地下資産の扱いはヨーロッパと米国の間で大きく異なり（Lange et al., 2018, 第 2 章）、日本の残差乖離も少なくとも部分的には CWON が取り込んで PIM 構築が取り込まない地価再評価に起因する。第二に、5.4 節のブートストラップ信頼区間は、短系列・投資変動の大きい国で広い。点同定を主張しているわけではなく、区間推定と方向性を提供しているだけであり、国別政策結論はいずれも国民経済計算のミクロデータと照合してから確定的と見なすべきである。第三に、5.3 節の γ_price 感度実験は CWON デフレータを国レベルの単一スカラーで処理した。より注意深い研究は部門別デフレータ、国別地価指数、無形資本用の Tornqvist 連鎖価格指数を用いるべきで（Jorgenson et al., 2018）、これは今後の課題である。第四に、そしておそらく最も重要なことに、人口テンポ類比は示唆的ではあっても厳密ではない。人口ストックはよく測定された死亡率で減耗するのに対し、資本ストックは δ_t で減耗するが、この δ_t 自体が PWT の派生推定であり、移行経済では精度が低いことが知られる（Inklaar and Timmer, 2013）。真の δ が自体ドリフトしていれば、我々が μ(t) に帰している部分の一部は時変 δ(t) に吸収されうる。この二つのドリフトを切り分けるには、本稿の 39 カ国すべてで一様に利用可能ではない稼働率・資産除却データが必要である。</w:t>
      </w:r>
    </w:p>
    <w:p>
      <w:pPr>
        <w:spacing w:before="240" w:after="120"/>
      </w:pPr>
      <w:r>
        <w:rPr>
          <w:rFonts w:ascii="Times New Roman" w:hAnsi="Times New Roman" w:eastAsia="MS Mincho"/>
          <w:b/>
          <w:i w:val="0"/>
          <w:sz w:val="24"/>
        </w:rPr>
        <w:t>7. 結論</w:t>
      </w:r>
    </w:p>
    <w:p>
      <w:pPr>
        <w:spacing w:after="120" w:before="0" w:line="360" w:lineRule="auto"/>
      </w:pPr>
      <w:r>
        <w:rPr>
          <w:rFonts w:ascii="Times New Roman" w:hAnsi="Times New Roman" w:eastAsia="MS Mincho"/>
          <w:b w:val="0"/>
          <w:i w:val="0"/>
          <w:sz w:val="22"/>
        </w:rPr>
        <w:t>国民所得・国富会計は誤った問いを立ててきた。正しい問いは「フローかストックか」ではなく、「両者を結ぶパラメータ――投資のタイム・トゥ・ビルドと無形資本のシェア――を推定しているのか、押し付けているのか」である。μ = 0、β = 0 を押し付けると、会計は静かに偏り、Solow 残差が誤差を吸収し、フロー勘定とストック勘定が乖離する。生産データ（PWT）と国富データ（CWON）の両方で同時に推定すれば、両勘定は先進国の大半で 1〜2 % 以内に再整合し、GDP 水準予測の標本外精度は 13 % 改善し、Beyond-GDP 議論は「次に問題となる忘れられたパラメータは何か」という議論になる。人口学は同じ問題を四半世紀前に人口について解決した。資本会計も今、同じことができる。</w:t>
      </w:r>
    </w:p>
    <w:p>
      <w:pPr>
        <w:spacing w:after="120" w:before="0" w:line="360" w:lineRule="auto"/>
      </w:pPr>
      <w:r>
        <w:rPr>
          <w:rFonts w:ascii="Times New Roman" w:hAnsi="Times New Roman" w:eastAsia="MS Mincho"/>
          <w:b w:val="0"/>
          <w:i w:val="0"/>
          <w:sz w:val="22"/>
        </w:rPr>
        <w:t>結果から三つの実務的提言が導かれる。第一に、μ を時不変として扱うような国別資本ストック推定の改訂はいずれも暫定的なものとみなすべきである。μ(t) の再推定コストはわずかであり、標本外当てはめ上の便益は生産関数に確率ショック一式を加えた場合に匹敵する。第二に、CWON と IWI の両プログラムは、点推定値に加えて、フロー勘定とストック勘定の双方から共同同定された (μ, β) 値を併せて公表し、利用者が両勘定の内的整合性の有無を一目で確認できるようにすべきである。第三に、方法論的には、TFP 成長率を残差の第一候補に置き続けなければならない原理的理由は存在しない。μ(t) と β がそれぞれの寄与を吸収した後のポスト・テンポ、ポスト無形残差こそが、生産性成長のより正直なベンチマークである。その残差は Solow の数字より小さいが、情報量ではより豊かである。人口学は、期間・コホート偏りが認知された後、より小さな「未説明部分」と共存することを学んだ。経済測定も、同じ調整を遂行する時期に来ている。</w:t>
      </w:r>
    </w:p>
    <w:p>
      <w:pPr>
        <w:spacing w:before="240" w:after="120"/>
      </w:pPr>
      <w:r>
        <w:rPr>
          <w:rFonts w:ascii="Times New Roman" w:hAnsi="Times New Roman" w:eastAsia="MS Mincho"/>
          <w:b/>
          <w:i w:val="0"/>
          <w:sz w:val="24"/>
        </w:rPr>
        <w:t>表</w:t>
      </w:r>
    </w:p>
    <w:p>
      <w:pPr>
        <w:spacing w:after="120" w:before="0" w:line="360" w:lineRule="auto"/>
      </w:pPr>
      <w:r>
        <w:rPr>
          <w:rFonts w:ascii="Times New Roman" w:hAnsi="Times New Roman" w:eastAsia="MS Mincho"/>
          <w:b w:val="0"/>
          <w:i w:val="0"/>
          <w:sz w:val="22"/>
        </w:rPr>
        <w:t>表 1. M0–M4: 39 カ国における標本内・標本外パフォーマンス</w:t>
      </w:r>
    </w:p>
    <w:p>
      <w:pPr>
        <w:spacing w:after="120" w:before="0" w:line="360" w:lineRule="auto"/>
      </w:pPr>
      <w:r>
        <w:rPr>
          <w:rFonts w:ascii="Times New Roman" w:hAnsi="Times New Roman" w:eastAsia="MS Mincho"/>
          <w:b w:val="0"/>
          <w:i w:val="0"/>
          <w:sz w:val="22"/>
        </w:rPr>
        <w:t>［表 1 をここに挿入］</w:t>
      </w:r>
    </w:p>
    <w:p>
      <w:pPr>
        <w:spacing w:after="120" w:before="0" w:line="360" w:lineRule="auto"/>
      </w:pPr>
      <w:r>
        <w:rPr>
          <w:rFonts w:ascii="Times New Roman" w:hAnsi="Times New Roman" w:eastAsia="MS Mincho"/>
          <w:b w:val="0"/>
          <w:i w:val="0"/>
          <w:sz w:val="22"/>
        </w:rPr>
        <w:t>表 2. 人口・資本対応</w:t>
      </w:r>
    </w:p>
    <w:p>
      <w:pPr>
        <w:spacing w:after="120" w:before="0" w:line="360" w:lineRule="auto"/>
      </w:pPr>
      <w:r>
        <w:rPr>
          <w:rFonts w:ascii="Times New Roman" w:hAnsi="Times New Roman" w:eastAsia="MS Mincho"/>
          <w:b w:val="0"/>
          <w:i w:val="0"/>
          <w:sz w:val="22"/>
        </w:rPr>
        <w:t>［表 2 をここに挿入］</w:t>
      </w:r>
    </w:p>
    <w:p>
      <w:pPr>
        <w:spacing w:before="240" w:after="120"/>
      </w:pPr>
      <w:r>
        <w:rPr>
          <w:rFonts w:ascii="Times New Roman" w:hAnsi="Times New Roman" w:eastAsia="MS Mincho"/>
          <w:b/>
          <w:i w:val="0"/>
          <w:sz w:val="24"/>
        </w:rPr>
        <w:t>参考文献</w:t>
      </w:r>
    </w:p>
    <w:p>
      <w:pPr>
        <w:spacing w:after="120" w:before="0" w:line="360" w:lineRule="auto"/>
      </w:pPr>
      <w:r>
        <w:rPr>
          <w:rFonts w:ascii="Times New Roman" w:hAnsi="Times New Roman" w:eastAsia="MS Mincho"/>
          <w:b w:val="0"/>
          <w:i w:val="0"/>
          <w:sz w:val="22"/>
        </w:rPr>
        <w:t>Arrow, K. J., P. Dasgupta, L. H. Goulder, K. J. Mumford, and K. Oleson, "Sustainability and the measurement of wealth," Environment and Development Economics, 17, 317–353, 2012.</w:t>
      </w:r>
    </w:p>
    <w:p>
      <w:pPr>
        <w:spacing w:after="120" w:before="0" w:line="360" w:lineRule="auto"/>
      </w:pPr>
      <w:r>
        <w:rPr>
          <w:rFonts w:ascii="Times New Roman" w:hAnsi="Times New Roman" w:eastAsia="MS Mincho"/>
          <w:b w:val="0"/>
          <w:i w:val="0"/>
          <w:sz w:val="22"/>
        </w:rPr>
        <w:t>Bongaarts, J. and G. Feeney, "On the quantum and tempo of fertility," Population and Development Review, 24, 271–291, 1998.</w:t>
      </w:r>
    </w:p>
    <w:p>
      <w:pPr>
        <w:spacing w:after="120" w:before="0" w:line="360" w:lineRule="auto"/>
      </w:pPr>
      <w:r>
        <w:rPr>
          <w:rFonts w:ascii="Times New Roman" w:hAnsi="Times New Roman" w:eastAsia="MS Mincho"/>
          <w:b w:val="0"/>
          <w:i w:val="0"/>
          <w:sz w:val="22"/>
        </w:rPr>
        <w:t>Bongaarts, J. and T. Sobotka, "A demographic explanation for the recent rise in European fertility," Population and Development Review, 38, 83–120, 2012.</w:t>
      </w:r>
    </w:p>
    <w:p>
      <w:pPr>
        <w:spacing w:after="120" w:before="0" w:line="360" w:lineRule="auto"/>
      </w:pPr>
      <w:r>
        <w:rPr>
          <w:rFonts w:ascii="Times New Roman" w:hAnsi="Times New Roman" w:eastAsia="MS Mincho"/>
          <w:b w:val="0"/>
          <w:i w:val="0"/>
          <w:sz w:val="22"/>
        </w:rPr>
        <w:t>Corrado, C., C. Hulten, and D. Sichel, "Measuring capital and technology: an expanded framework," in C. Corrado, J. Haltiwanger, and D. Sichel, eds., Measuring Capital in the New Economy, 11–46, University of Chicago Press, Chicago, 2005.</w:t>
      </w:r>
    </w:p>
    <w:p>
      <w:pPr>
        <w:spacing w:after="120" w:before="0" w:line="360" w:lineRule="auto"/>
      </w:pPr>
      <w:r>
        <w:rPr>
          <w:rFonts w:ascii="Times New Roman" w:hAnsi="Times New Roman" w:eastAsia="MS Mincho"/>
          <w:b w:val="0"/>
          <w:i w:val="0"/>
          <w:sz w:val="22"/>
        </w:rPr>
        <w:t>Corrado, C., C. Hulten, and D. Sichel, "Intangible capital and US economic growth," Review of Income and Wealth, 55, 661–685, 2009.</w:t>
      </w:r>
    </w:p>
    <w:p>
      <w:pPr>
        <w:spacing w:after="120" w:before="0" w:line="360" w:lineRule="auto"/>
      </w:pPr>
      <w:r>
        <w:rPr>
          <w:rFonts w:ascii="Times New Roman" w:hAnsi="Times New Roman" w:eastAsia="MS Mincho"/>
          <w:b w:val="0"/>
          <w:i w:val="0"/>
          <w:sz w:val="22"/>
        </w:rPr>
        <w:t>Corrado, C., J. Haskel, C. Jona-Lasinio, and M. Iommi, "Intangible investment in the EU and US before and since the Great Recession and its contribution to productivity growth," EIB Working Papers 2016/08, 2016.</w:t>
      </w:r>
    </w:p>
    <w:p>
      <w:pPr>
        <w:spacing w:after="120" w:before="0" w:line="360" w:lineRule="auto"/>
      </w:pPr>
      <w:r>
        <w:rPr>
          <w:rFonts w:ascii="Times New Roman" w:hAnsi="Times New Roman" w:eastAsia="MS Mincho"/>
          <w:b w:val="0"/>
          <w:i w:val="0"/>
          <w:sz w:val="22"/>
        </w:rPr>
        <w:t>Dasgupta, P., The Economics of Biodiversity: The Dasgupta Review, HM Treasury, London, 2021.</w:t>
      </w:r>
    </w:p>
    <w:p>
      <w:pPr>
        <w:spacing w:after="120" w:before="0" w:line="360" w:lineRule="auto"/>
      </w:pPr>
      <w:r>
        <w:rPr>
          <w:rFonts w:ascii="Times New Roman" w:hAnsi="Times New Roman" w:eastAsia="MS Mincho"/>
          <w:b w:val="0"/>
          <w:i w:val="0"/>
          <w:sz w:val="22"/>
        </w:rPr>
        <w:t>Feenstra, R. C., R. Inklaar, and M. P. Timmer, "The next generation of the Penn World Table," American Economic Review, 105, 3150–3182, 2015.</w:t>
      </w:r>
    </w:p>
    <w:p>
      <w:pPr>
        <w:spacing w:after="120" w:before="0" w:line="360" w:lineRule="auto"/>
      </w:pPr>
      <w:r>
        <w:rPr>
          <w:rFonts w:ascii="Times New Roman" w:hAnsi="Times New Roman" w:eastAsia="MS Mincho"/>
          <w:b w:val="0"/>
          <w:i w:val="0"/>
          <w:sz w:val="22"/>
        </w:rPr>
        <w:t>Goldstein, J. R., W. Lutz, and S. Scherbov, "Long-term population decline in Europe: the relative importance of tempo effects and generational length," Population and Development Review, 29, 699–707, 2003.</w:t>
      </w:r>
    </w:p>
    <w:p>
      <w:pPr>
        <w:spacing w:after="120" w:before="0" w:line="360" w:lineRule="auto"/>
      </w:pPr>
      <w:r>
        <w:rPr>
          <w:rFonts w:ascii="Times New Roman" w:hAnsi="Times New Roman" w:eastAsia="MS Mincho"/>
          <w:b w:val="0"/>
          <w:i w:val="0"/>
          <w:sz w:val="22"/>
        </w:rPr>
        <w:t>Hamano, M. and Y. Zhao, "Fiscal sustainability and land prices in Japan," Journal of the Japanese and International Economies, 46, 17–29, 2017.</w:t>
      </w:r>
    </w:p>
    <w:p>
      <w:pPr>
        <w:spacing w:after="120" w:before="0" w:line="360" w:lineRule="auto"/>
      </w:pPr>
      <w:r>
        <w:rPr>
          <w:rFonts w:ascii="Times New Roman" w:hAnsi="Times New Roman" w:eastAsia="MS Mincho"/>
          <w:b w:val="0"/>
          <w:i w:val="0"/>
          <w:sz w:val="22"/>
        </w:rPr>
        <w:t>Haskel, J. and S. Westlake, Capitalism without Capital: The Rise of the Intangible Economy, Princeton University Press, Princeton, 2017.</w:t>
      </w:r>
    </w:p>
    <w:p>
      <w:pPr>
        <w:spacing w:after="120" w:before="0" w:line="360" w:lineRule="auto"/>
      </w:pPr>
      <w:r>
        <w:rPr>
          <w:rFonts w:ascii="Times New Roman" w:hAnsi="Times New Roman" w:eastAsia="MS Mincho"/>
          <w:b w:val="0"/>
          <w:i w:val="0"/>
          <w:sz w:val="22"/>
        </w:rPr>
        <w:t>Jorgenson, D. W., "Production and welfare: progress in economic measurement," Journal of Economic Literature, 56, 867–919, 2018.</w:t>
      </w:r>
    </w:p>
    <w:p>
      <w:pPr>
        <w:spacing w:after="120" w:before="0" w:line="360" w:lineRule="auto"/>
      </w:pPr>
      <w:r>
        <w:rPr>
          <w:rFonts w:ascii="Times New Roman" w:hAnsi="Times New Roman" w:eastAsia="MS Mincho"/>
          <w:b w:val="0"/>
          <w:i w:val="0"/>
          <w:sz w:val="22"/>
        </w:rPr>
        <w:t>Kaboski, J. P., "Factor price uncertainty, technology choice and investment delay," Journal of Economic Dynamics and Control, 29, 509–527, 2005.</w:t>
      </w:r>
    </w:p>
    <w:p>
      <w:pPr>
        <w:spacing w:after="120" w:before="0" w:line="360" w:lineRule="auto"/>
      </w:pPr>
      <w:r>
        <w:rPr>
          <w:rFonts w:ascii="Times New Roman" w:hAnsi="Times New Roman" w:eastAsia="MS Mincho"/>
          <w:b w:val="0"/>
          <w:i w:val="0"/>
          <w:sz w:val="22"/>
        </w:rPr>
        <w:t>Koeva, P., "The facts about time-to-build," IMF Working Paper 00/138, 2000.</w:t>
      </w:r>
    </w:p>
    <w:p>
      <w:pPr>
        <w:spacing w:after="120" w:before="0" w:line="360" w:lineRule="auto"/>
      </w:pPr>
      <w:r>
        <w:rPr>
          <w:rFonts w:ascii="Times New Roman" w:hAnsi="Times New Roman" w:eastAsia="MS Mincho"/>
          <w:b w:val="0"/>
          <w:i w:val="0"/>
          <w:sz w:val="22"/>
        </w:rPr>
        <w:t>Inklaar, R. and M. P. Timmer, "Capital, labor and TFP in PWT8.0," GGDC Research Memorandum, GD-134, 2013.</w:t>
      </w:r>
    </w:p>
    <w:p>
      <w:pPr>
        <w:spacing w:after="120" w:before="0" w:line="360" w:lineRule="auto"/>
      </w:pPr>
      <w:r>
        <w:rPr>
          <w:rFonts w:ascii="Times New Roman" w:hAnsi="Times New Roman" w:eastAsia="MS Mincho"/>
          <w:b w:val="0"/>
          <w:i w:val="0"/>
          <w:sz w:val="22"/>
        </w:rPr>
        <w:t>Jorgenson, D. W., F. M. Gollop, and B. M. Fraumeni, Productivity and U.S. Economic Growth, Harvard University Press, Cambridge, MA, 2018 (reprint edition).</w:t>
      </w:r>
    </w:p>
    <w:p>
      <w:pPr>
        <w:spacing w:after="120" w:before="0" w:line="360" w:lineRule="auto"/>
      </w:pPr>
      <w:r>
        <w:rPr>
          <w:rFonts w:ascii="Times New Roman" w:hAnsi="Times New Roman" w:eastAsia="MS Mincho"/>
          <w:b w:val="0"/>
          <w:i w:val="0"/>
          <w:sz w:val="22"/>
        </w:rPr>
        <w:t>Kohler, H.-P., F. C. Billari, and J. A. Ortega, "The emergence of lowest-low fertility in Europe during the 1990s," Population and Development Review, 28, 641–680, 2002.</w:t>
      </w:r>
    </w:p>
    <w:p>
      <w:pPr>
        <w:spacing w:after="120" w:before="0" w:line="360" w:lineRule="auto"/>
      </w:pPr>
      <w:r>
        <w:rPr>
          <w:rFonts w:ascii="Times New Roman" w:hAnsi="Times New Roman" w:eastAsia="MS Mincho"/>
          <w:b w:val="0"/>
          <w:i w:val="0"/>
          <w:sz w:val="22"/>
        </w:rPr>
        <w:t>Kydland, F. E. and E. C. Prescott, "Time to build and aggregate fluctuations," Econometrica, 50, 1345–1370, 1982.</w:t>
      </w:r>
    </w:p>
    <w:p>
      <w:pPr>
        <w:spacing w:after="120" w:before="0" w:line="360" w:lineRule="auto"/>
      </w:pPr>
      <w:r>
        <w:rPr>
          <w:rFonts w:ascii="Times New Roman" w:hAnsi="Times New Roman" w:eastAsia="MS Mincho"/>
          <w:b w:val="0"/>
          <w:i w:val="0"/>
          <w:sz w:val="22"/>
        </w:rPr>
        <w:t>Lange, G.-M., Q. Wodon, and K. Carey, eds., The Changing Wealth of Nations 2018: Building a Sustainable Future, World Bank, Washington, DC, 2018.</w:t>
      </w:r>
    </w:p>
    <w:p>
      <w:pPr>
        <w:spacing w:after="120" w:before="0" w:line="360" w:lineRule="auto"/>
      </w:pPr>
      <w:r>
        <w:rPr>
          <w:rFonts w:ascii="Times New Roman" w:hAnsi="Times New Roman" w:eastAsia="MS Mincho"/>
          <w:b w:val="0"/>
          <w:i w:val="0"/>
          <w:sz w:val="22"/>
        </w:rPr>
        <w:t>Managi, S. and P. Kumar, eds., Inclusive Wealth Report 2018, Routledge, London, 2018.</w:t>
      </w:r>
    </w:p>
    <w:p>
      <w:pPr>
        <w:spacing w:after="120" w:before="0" w:line="360" w:lineRule="auto"/>
      </w:pPr>
      <w:r>
        <w:rPr>
          <w:rFonts w:ascii="Times New Roman" w:hAnsi="Times New Roman" w:eastAsia="MS Mincho"/>
          <w:b w:val="0"/>
          <w:i w:val="0"/>
          <w:sz w:val="22"/>
        </w:rPr>
        <w:t>Mayer, T., "Plant and equipment lead times," Journal of Business, 33, 127–132, 1960.</w:t>
      </w:r>
    </w:p>
    <w:p>
      <w:pPr>
        <w:spacing w:after="120" w:before="0" w:line="360" w:lineRule="auto"/>
      </w:pPr>
      <w:r>
        <w:rPr>
          <w:rFonts w:ascii="Times New Roman" w:hAnsi="Times New Roman" w:eastAsia="MS Mincho"/>
          <w:b w:val="0"/>
          <w:i w:val="0"/>
          <w:sz w:val="22"/>
        </w:rPr>
        <w:t>Roth, F., "Intangible capital and productivity growth in the EU: a panel data perspective," Hamburg Discussion Papers in International Economics, 13, 2023.</w:t>
      </w:r>
    </w:p>
    <w:p>
      <w:pPr>
        <w:spacing w:after="120" w:before="0" w:line="360" w:lineRule="auto"/>
      </w:pPr>
      <w:r>
        <w:rPr>
          <w:rFonts w:ascii="Times New Roman" w:hAnsi="Times New Roman" w:eastAsia="MS Mincho"/>
          <w:b w:val="0"/>
          <w:i w:val="0"/>
          <w:sz w:val="22"/>
        </w:rPr>
        <w:t>Salomon, J. A., H. Wang, M. K. Freeman, T. Vos, A. D. Flaxman, A. D. Lopez, and C. J. L. Murray, "Healthy life expectancy for 187 countries, 1990–2010: a systematic analysis for the Global Burden Disease Study 2010," The Lancet, 380, 2144–2162, 2012.</w:t>
      </w:r>
    </w:p>
    <w:p>
      <w:pPr>
        <w:spacing w:after="120" w:before="0" w:line="360" w:lineRule="auto"/>
      </w:pPr>
      <w:r>
        <w:rPr>
          <w:rFonts w:ascii="Times New Roman" w:hAnsi="Times New Roman" w:eastAsia="MS Mincho"/>
          <w:b w:val="0"/>
          <w:i w:val="0"/>
          <w:sz w:val="22"/>
        </w:rPr>
        <w:t>Smets, F. and R. Wouters, "Shocks and frictions in US business cycles: a Bayesian DSGE approach," American Economic Review, 97, 586–606, 2007.</w:t>
      </w:r>
    </w:p>
    <w:p>
      <w:pPr>
        <w:spacing w:after="120" w:before="0" w:line="360" w:lineRule="auto"/>
      </w:pPr>
      <w:r>
        <w:rPr>
          <w:rFonts w:ascii="Times New Roman" w:hAnsi="Times New Roman" w:eastAsia="MS Mincho"/>
          <w:b w:val="0"/>
          <w:i w:val="0"/>
          <w:sz w:val="22"/>
        </w:rPr>
        <w:t>Solow, R. M., "Technical change and the aggregate production function," Review of Economics and Statistics, 39, 312–320, 1957.</w:t>
      </w:r>
    </w:p>
    <w:p>
      <w:pPr>
        <w:spacing w:after="120" w:before="0" w:line="360" w:lineRule="auto"/>
      </w:pPr>
      <w:r>
        <w:rPr>
          <w:rFonts w:ascii="Times New Roman" w:hAnsi="Times New Roman" w:eastAsia="MS Mincho"/>
          <w:b w:val="0"/>
          <w:i w:val="0"/>
          <w:sz w:val="22"/>
        </w:rPr>
        <w:t>Stiglitz, J. E., A. Sen, and J.-P. Fitoussi, Report by the Commission on the Measurement of Economic Performance and Social Progress, Paris, 2009.</w:t>
      </w:r>
    </w:p>
    <w:p>
      <w:pPr>
        <w:spacing w:after="120" w:before="0" w:line="360" w:lineRule="auto"/>
      </w:pPr>
      <w:r>
        <w:rPr>
          <w:rFonts w:ascii="Times New Roman" w:hAnsi="Times New Roman" w:eastAsia="MS Mincho"/>
          <w:b w:val="0"/>
          <w:i w:val="0"/>
          <w:sz w:val="22"/>
        </w:rPr>
        <w:t>UNECE, Framework and Suggested Indicators to Measure Sustainable Development, United Nations, Geneva, 2014.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