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pPr>
      <w:r>
        <w:rPr>
          <w:rFonts w:ascii="Times New Roman" w:hAnsi="Times New Roman" w:eastAsia="MS Mincho"/>
          <w:b w:val="0"/>
          <w:i w:val="0"/>
          <w:sz w:val="20"/>
        </w:rPr>
        <w:t>Onishi Tatsuki</w:t>
      </w:r>
    </w:p>
    <w:p>
      <w:pPr>
        <w:spacing w:after="40" w:line="360" w:lineRule="auto"/>
      </w:pPr>
      <w:r>
        <w:rPr>
          <w:rFonts w:ascii="Times New Roman" w:hAnsi="Times New Roman" w:eastAsia="MS Mincho"/>
          <w:b w:val="0"/>
          <w:i w:val="0"/>
          <w:sz w:val="20"/>
        </w:rPr>
        <w:t>Data Science and AI Innovation Research Promotion Center</w:t>
      </w:r>
    </w:p>
    <w:p>
      <w:pPr>
        <w:spacing w:after="40" w:line="360" w:lineRule="auto"/>
      </w:pPr>
      <w:r>
        <w:rPr>
          <w:rFonts w:ascii="Times New Roman" w:hAnsi="Times New Roman" w:eastAsia="MS Mincho"/>
          <w:b w:val="0"/>
          <w:i w:val="0"/>
          <w:sz w:val="20"/>
        </w:rPr>
        <w:t>Shiga University</w:t>
      </w:r>
    </w:p>
    <w:p>
      <w:pPr>
        <w:spacing w:after="40" w:line="360" w:lineRule="auto"/>
      </w:pPr>
      <w:r>
        <w:rPr>
          <w:rFonts w:ascii="Times New Roman" w:hAnsi="Times New Roman" w:eastAsia="MS Mincho"/>
          <w:b w:val="0"/>
          <w:i w:val="0"/>
          <w:sz w:val="20"/>
        </w:rPr>
        <w:t>1-1-1, Bamba, Hikone, Shiga, 522-8522 Japan</w:t>
      </w:r>
    </w:p>
    <w:p>
      <w:pPr>
        <w:spacing w:after="40" w:line="360" w:lineRule="auto"/>
      </w:pPr>
      <w:r>
        <w:rPr>
          <w:rFonts w:ascii="Times New Roman" w:hAnsi="Times New Roman" w:eastAsia="MS Mincho"/>
          <w:b w:val="0"/>
          <w:i w:val="0"/>
          <w:sz w:val="20"/>
        </w:rPr>
        <w:t>Telephone: +81-749-27-1023</w:t>
      </w:r>
    </w:p>
    <w:p>
      <w:pPr>
        <w:spacing w:after="40" w:line="360" w:lineRule="auto"/>
      </w:pPr>
      <w:r>
        <w:rPr>
          <w:rFonts w:ascii="Times New Roman" w:hAnsi="Times New Roman" w:eastAsia="MS Mincho"/>
          <w:b w:val="0"/>
          <w:i w:val="0"/>
          <w:sz w:val="20"/>
        </w:rPr>
        <w:t>E-mail: bougtoir@gmail.com</w:t>
      </w:r>
    </w:p>
    <w:p>
      <w:pPr>
        <w:spacing w:after="40" w:line="360" w:lineRule="auto"/>
      </w:pPr>
      <w:r>
        <w:rPr>
          <w:rFonts w:ascii="Times New Roman" w:hAnsi="Times New Roman" w:eastAsia="MS Mincho"/>
          <w:b w:val="0"/>
          <w:i w:val="0"/>
          <w:sz w:val="20"/>
        </w:rPr>
        <w:t>ORCID: 0000-0001-7261-9062</w:t>
      </w:r>
    </w:p>
    <w:p>
      <w:pPr>
        <w:spacing w:after="0" w:before="0" w:line="360" w:lineRule="auto"/>
      </w:pPr>
    </w:p>
    <w:p>
      <w:pPr>
        <w:spacing w:after="40" w:line="360" w:lineRule="auto"/>
      </w:pPr>
      <w:r>
        <w:rPr>
          <w:rFonts w:ascii="Times New Roman" w:hAnsi="Times New Roman" w:eastAsia="MS Mincho"/>
          <w:b w:val="0"/>
          <w:i w:val="0"/>
          <w:sz w:val="20"/>
        </w:rPr>
        <w:t>27 September 2026</w:t>
      </w:r>
    </w:p>
    <w:p>
      <w:pPr>
        <w:spacing w:after="0" w:before="0" w:line="360" w:lineRule="auto"/>
      </w:pPr>
    </w:p>
    <w:p>
      <w:pPr>
        <w:spacing w:after="40" w:line="360" w:lineRule="auto"/>
      </w:pPr>
      <w:r>
        <w:rPr>
          <w:rFonts w:ascii="Times New Roman" w:hAnsi="Times New Roman" w:eastAsia="MS Mincho"/>
          <w:b w:val="0"/>
          <w:i w:val="0"/>
          <w:sz w:val="20"/>
        </w:rPr>
        <w:t>The Editor</w:t>
      </w:r>
    </w:p>
    <w:p>
      <w:pPr>
        <w:spacing w:after="40" w:line="360" w:lineRule="auto"/>
      </w:pPr>
      <w:r>
        <w:rPr>
          <w:rFonts w:ascii="Times New Roman" w:hAnsi="Times New Roman" w:eastAsia="MS Mincho"/>
          <w:b w:val="0"/>
          <w:i/>
          <w:sz w:val="20"/>
        </w:rPr>
        <w:t>Structural Change and Economic Dynamics</w:t>
      </w:r>
    </w:p>
    <w:p>
      <w:pPr>
        <w:spacing w:after="0" w:before="0" w:line="360" w:lineRule="auto"/>
      </w:pPr>
    </w:p>
    <w:p>
      <w:pPr>
        <w:spacing w:after="40" w:line="360" w:lineRule="auto"/>
      </w:pPr>
      <w:r>
        <w:rPr>
          <w:rFonts w:ascii="Times New Roman" w:hAnsi="Times New Roman" w:eastAsia="MS Mincho"/>
          <w:b w:val="0"/>
          <w:i w:val="0"/>
          <w:sz w:val="20"/>
        </w:rPr>
        <w:t>Dear Editor,</w:t>
      </w:r>
    </w:p>
    <w:p>
      <w:pPr>
        <w:spacing w:after="0" w:before="0" w:line="360" w:lineRule="auto"/>
      </w:pPr>
    </w:p>
    <w:p>
      <w:pPr>
        <w:spacing w:after="40" w:line="360" w:lineRule="auto"/>
      </w:pPr>
      <w:r>
        <w:rPr>
          <w:rFonts w:ascii="Times New Roman" w:hAnsi="Times New Roman" w:eastAsia="MS Mincho"/>
          <w:b w:val="0"/>
          <w:i w:val="0"/>
          <w:sz w:val="20"/>
        </w:rPr>
        <w:t xml:space="preserve">I am pleased to submit for your consideration the enclosed manuscript, </w:t>
      </w:r>
      <w:r>
        <w:rPr>
          <w:rFonts w:ascii="Times New Roman" w:hAnsi="Times New Roman" w:eastAsia="MS Mincho"/>
          <w:b/>
          <w:i w:val="0"/>
          <w:sz w:val="20"/>
        </w:rPr>
        <w:t>"Investment Gestation Lags, Intangible Capital, and the Measurement of Capital and Productivity in 39 Economies"</w:t>
      </w:r>
      <w:r>
        <w:rPr>
          <w:rFonts w:ascii="Times New Roman" w:hAnsi="Times New Roman" w:eastAsia="MS Mincho"/>
          <w:b w:val="0"/>
          <w:i w:val="0"/>
          <w:sz w:val="20"/>
        </w:rPr>
        <w:t xml:space="preserve">, for publication in </w:t>
      </w:r>
      <w:r>
        <w:rPr>
          <w:rFonts w:ascii="Times New Roman" w:hAnsi="Times New Roman" w:eastAsia="MS Mincho"/>
          <w:b w:val="0"/>
          <w:i/>
          <w:sz w:val="20"/>
        </w:rPr>
        <w:t>Structural Change and Economic Dynamics</w:t>
      </w:r>
      <w:r>
        <w:rPr>
          <w:rFonts w:ascii="Times New Roman" w:hAnsi="Times New Roman" w:eastAsia="MS Mincho"/>
          <w:b w:val="0"/>
          <w:i w:val="0"/>
          <w:sz w:val="20"/>
        </w:rPr>
        <w:t>.</w:t>
      </w:r>
    </w:p>
    <w:p>
      <w:pPr>
        <w:spacing w:after="0" w:before="0" w:line="360" w:lineRule="auto"/>
      </w:pPr>
    </w:p>
    <w:p>
      <w:pPr>
        <w:spacing w:after="40" w:line="360" w:lineRule="auto"/>
      </w:pPr>
      <w:r>
        <w:rPr>
          <w:rFonts w:ascii="Times New Roman" w:hAnsi="Times New Roman" w:eastAsia="MS Mincho"/>
          <w:b w:val="0"/>
          <w:i w:val="0"/>
          <w:sz w:val="20"/>
        </w:rPr>
        <w:t xml:space="preserve">The paper examines a measurement question that sits squarely within the journal's scope: how the structural transformation of investment — the secular shift from plant and machinery toward software, R&amp;D, and other long-gestation intangible assets — distorts the capital stocks and productivity residuals produced by standard national-accounts conventions. We jointly estimate a time-varying investment-to-output lag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and a country-specific intangible-capital share </w:t>
      </w:r>
      <m:oMath xmlns:mml="http://www.w3.org/1998/Math/MathML">
        <m:box>
          <m:e>
            <m:r>
              <m:rPr>
                <m:sty m:val="i"/>
              </m:rPr>
              <m:t>β</m:t>
            </m:r>
          </m:e>
        </m:box>
      </m:oMath>
      <w:r>
        <w:rPr>
          <w:rFonts w:ascii="Times New Roman" w:hAnsi="Times New Roman" w:eastAsia="MS Mincho"/>
          <w:b w:val="0"/>
          <w:i w:val="0"/>
          <w:sz w:val="20"/>
        </w:rPr>
        <w:t xml:space="preserve"> for 39 OECD and middle-income economies over 1970–2019, using a tempo–quantum decomposition transplanted from formal demography. The corrections narrow the gap between production-side and wealth-side national accounts — surviving a strict temporal holdout on the wealth series (fitted on 1995–2014 and evaluated against 2015–2019, the joint model attains a smaller residual than the production-only alternative in 23 of 39 countries) — revise measured capital by a median −4.3 %, and raise log-level TFP and the implied labour share by a median 1.7 percentage points each, with the largest effects precisely where the investment mix has shifted most.</w:t>
      </w:r>
    </w:p>
    <w:p>
      <w:pPr>
        <w:spacing w:after="0" w:before="0" w:line="360" w:lineRule="auto"/>
      </w:pPr>
    </w:p>
    <w:p>
      <w:pPr>
        <w:spacing w:after="40" w:line="360" w:lineRule="auto"/>
      </w:pPr>
      <w:r>
        <w:rPr>
          <w:rFonts w:ascii="Times New Roman" w:hAnsi="Times New Roman" w:eastAsia="MS Mincho"/>
          <w:b w:val="0"/>
          <w:i w:val="0"/>
          <w:sz w:val="20"/>
        </w:rPr>
        <w:t xml:space="preserve">I believe this work is well-suited to </w:t>
      </w:r>
      <w:r>
        <w:rPr>
          <w:rFonts w:ascii="Times New Roman" w:hAnsi="Times New Roman" w:eastAsia="MS Mincho"/>
          <w:b w:val="0"/>
          <w:i/>
          <w:sz w:val="20"/>
        </w:rPr>
        <w:t>Structural Change and Economic Dynamics</w:t>
      </w:r>
      <w:r>
        <w:rPr>
          <w:rFonts w:ascii="Times New Roman" w:hAnsi="Times New Roman" w:eastAsia="MS Mincho"/>
          <w:b w:val="0"/>
          <w:i w:val="0"/>
          <w:sz w:val="20"/>
        </w:rPr>
        <w:t xml:space="preserve"> for three reasons.</w:t>
      </w:r>
    </w:p>
    <w:p>
      <w:pPr>
        <w:spacing w:after="0" w:before="0" w:line="360" w:lineRule="auto"/>
      </w:pPr>
    </w:p>
    <w:p>
      <w:pPr>
        <w:spacing w:after="40" w:line="360" w:lineRule="auto"/>
      </w:pPr>
      <w:r>
        <w:rPr>
          <w:rFonts w:ascii="Times New Roman" w:hAnsi="Times New Roman" w:eastAsia="MS Mincho"/>
          <w:b w:val="0"/>
          <w:i w:val="0"/>
          <w:sz w:val="20"/>
        </w:rPr>
        <w:t>First, the paper's subject is structural change itself: it quantifies how a documented shift in the composition of capital formation propagates through the measurement system on which the analysis of structural and technological change depends. Readers of the journal working on productivity dynamics, intangible-driven growth, or the changing configuration of national accounts will find directly usable estimates.</w:t>
      </w:r>
    </w:p>
    <w:p>
      <w:pPr>
        <w:spacing w:after="0" w:before="0" w:line="360" w:lineRule="auto"/>
      </w:pPr>
    </w:p>
    <w:p>
      <w:pPr>
        <w:spacing w:after="40" w:line="360" w:lineRule="auto"/>
      </w:pPr>
      <w:r>
        <w:rPr>
          <w:rFonts w:ascii="Times New Roman" w:hAnsi="Times New Roman" w:eastAsia="MS Mincho"/>
          <w:b w:val="0"/>
          <w:i w:val="0"/>
          <w:sz w:val="20"/>
        </w:rPr>
        <w:t xml:space="preserve">Second, the analysis contributes econometric tools designed for the study of structural dynamics. A time-varying gestation lag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is identified jointly with the intangible share </w:t>
      </w:r>
      <m:oMath xmlns:mml="http://www.w3.org/1998/Math/MathML">
        <m:box>
          <m:e>
            <m:r>
              <m:rPr>
                <m:sty m:val="i"/>
              </m:rPr>
              <m:t>β</m:t>
            </m:r>
          </m:e>
        </m:box>
      </m:oMath>
      <w:r>
        <w:rPr>
          <w:rFonts w:ascii="Times New Roman" w:hAnsi="Times New Roman" w:eastAsia="MS Mincho"/>
          <w:b w:val="0"/>
          <w:i w:val="0"/>
          <w:sz w:val="20"/>
        </w:rPr>
        <w:t xml:space="preserve"> by a flow–stock consistency constraint; the "Relational PIM" adapts Brass relational models to capital accounting; and an observable, parameter-free tempo proxy </w:t>
      </w:r>
      <m:oMath xmlns:mml="http://www.w3.org/1998/Math/MathML">
        <m:box>
          <m:e>
            <m:sSub>
              <m:e>
                <m:r>
                  <m:rPr>
                    <m:sty m:val="i"/>
                  </m:rPr>
                  <m:t>M</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is constructed from OECD asset-composition data, so the core correction can be replicated at negligible cost by any statistical agency.</w:t>
      </w:r>
    </w:p>
    <w:p>
      <w:pPr>
        <w:spacing w:after="0" w:before="0" w:line="360" w:lineRule="auto"/>
      </w:pPr>
    </w:p>
    <w:p>
      <w:pPr>
        <w:spacing w:after="40" w:line="360" w:lineRule="auto"/>
      </w:pPr>
      <w:r>
        <w:rPr>
          <w:rFonts w:ascii="Times New Roman" w:hAnsi="Times New Roman" w:eastAsia="MS Mincho"/>
          <w:b w:val="0"/>
          <w:i w:val="0"/>
          <w:sz w:val="20"/>
        </w:rPr>
        <w:t>Third, the reporting is deliberately conservative: the out-of-sample improvement of the tempo correction (median MAPE 4.60 % → 3.99 %) is reported together with its non-significant Wilcoxon test, and robustness is documented extensively in the Supporting Information — Monte Carlo identification checks, depreciation-sensitivity, R&amp;D-scaling sensitivity, and historical-episode decompositions.</w:t>
      </w:r>
    </w:p>
    <w:p>
      <w:pPr>
        <w:spacing w:after="0" w:before="0" w:line="360" w:lineRule="auto"/>
      </w:pPr>
    </w:p>
    <w:p>
      <w:pPr>
        <w:spacing w:after="40" w:line="360" w:lineRule="auto"/>
      </w:pPr>
      <w:r>
        <w:rPr>
          <w:rFonts w:ascii="Times New Roman" w:hAnsi="Times New Roman" w:eastAsia="MS Mincho"/>
          <w:b w:val="0"/>
          <w:i w:val="0"/>
          <w:sz w:val="20"/>
        </w:rPr>
        <w:t>I confirm the following:</w:t>
      </w:r>
    </w:p>
    <w:p>
      <w:pPr>
        <w:spacing w:after="0" w:before="0" w:line="360" w:lineRule="auto"/>
      </w:pPr>
    </w:p>
    <w:p>
      <w:pPr>
        <w:spacing w:after="40" w:line="360" w:lineRule="auto"/>
        <w:ind w:left="720" w:hanging="360"/>
      </w:pPr>
      <w:r>
        <w:rPr>
          <w:rFonts w:ascii="Times New Roman" w:hAnsi="Times New Roman" w:eastAsia="MS Mincho"/>
          <w:b w:val="0"/>
          <w:i w:val="0"/>
          <w:sz w:val="20"/>
        </w:rPr>
        <w:t>•  This work is original and has not been published elsewhere.</w:t>
      </w:r>
    </w:p>
    <w:p>
      <w:pPr>
        <w:spacing w:after="40" w:line="360" w:lineRule="auto"/>
        <w:ind w:left="720" w:hanging="360"/>
      </w:pPr>
      <w:r>
        <w:rPr>
          <w:rFonts w:ascii="Times New Roman" w:hAnsi="Times New Roman" w:eastAsia="MS Mincho"/>
          <w:b w:val="0"/>
          <w:i w:val="0"/>
          <w:sz w:val="20"/>
        </w:rPr>
        <w:t>•  The manuscript is not under consideration by any other journal.</w:t>
      </w:r>
    </w:p>
    <w:p>
      <w:pPr>
        <w:spacing w:after="40" w:line="360" w:lineRule="auto"/>
        <w:ind w:left="720" w:hanging="360"/>
      </w:pPr>
      <w:r>
        <w:rPr>
          <w:rFonts w:ascii="Times New Roman" w:hAnsi="Times New Roman" w:eastAsia="MS Mincho"/>
          <w:b w:val="0"/>
          <w:i w:val="0"/>
          <w:sz w:val="20"/>
        </w:rPr>
        <w:t>•  All data sources (Penn World Table 10.01; World Bank Changing Wealth of Nations; World Bank WDI; OECD GFCF) are publicly available; frozen extracts, code, and intermediate outputs are archived in the companion repository at https://github.com/bougtoir/gdp-tempo-paper, and a one-command reproduction pipeline (`make`) regenerates every figure, table, and number in the manuscript.</w:t>
      </w:r>
    </w:p>
    <w:p>
      <w:pPr>
        <w:spacing w:after="40" w:line="360" w:lineRule="auto"/>
        <w:ind w:left="720" w:hanging="360"/>
      </w:pPr>
      <w:r>
        <w:rPr>
          <w:rFonts w:ascii="Times New Roman" w:hAnsi="Times New Roman" w:eastAsia="MS Mincho"/>
          <w:b w:val="0"/>
          <w:i w:val="0"/>
          <w:sz w:val="20"/>
        </w:rPr>
        <w:t>•  I am the sole author.</w:t>
      </w:r>
    </w:p>
    <w:p>
      <w:pPr>
        <w:spacing w:after="40" w:line="360" w:lineRule="auto"/>
        <w:ind w:left="720" w:hanging="360"/>
      </w:pPr>
      <w:r>
        <w:rPr>
          <w:rFonts w:ascii="Times New Roman" w:hAnsi="Times New Roman" w:eastAsia="MS Mincho"/>
          <w:b w:val="0"/>
          <w:i w:val="0"/>
          <w:sz w:val="20"/>
        </w:rPr>
        <w:t>•  I have no competing interests, financial or otherwise, related to this work.</w:t>
      </w:r>
    </w:p>
    <w:p>
      <w:pPr>
        <w:spacing w:after="40" w:line="360" w:lineRule="auto"/>
        <w:ind w:left="720" w:hanging="360"/>
      </w:pPr>
      <w:r>
        <w:rPr>
          <w:rFonts w:ascii="Times New Roman" w:hAnsi="Times New Roman" w:eastAsia="MS Mincho"/>
          <w:b w:val="0"/>
          <w:i w:val="0"/>
          <w:sz w:val="20"/>
        </w:rPr>
        <w:t>•  I used generative AI to assist with formatting the text, choosing words, and writing analysis code; this is documented in the Declarations section of the title page.</w:t>
      </w:r>
    </w:p>
    <w:p>
      <w:pPr>
        <w:spacing w:after="40" w:line="360" w:lineRule="auto"/>
        <w:ind w:left="720" w:hanging="360"/>
      </w:pPr>
      <w:r>
        <w:rPr>
          <w:rFonts w:ascii="Times New Roman" w:hAnsi="Times New Roman" w:eastAsia="MS Mincho"/>
          <w:b w:val="0"/>
          <w:i w:val="0"/>
          <w:sz w:val="20"/>
        </w:rPr>
        <w:t>•  I am aware of the journal's submission fee (USD 100) and will complete payment in Editorial Manager upon submission.</w:t>
      </w:r>
    </w:p>
    <w:p>
      <w:pPr>
        <w:spacing w:after="0" w:before="0" w:line="360" w:lineRule="auto"/>
      </w:pPr>
    </w:p>
    <w:p>
      <w:pPr>
        <w:spacing w:after="40" w:line="360" w:lineRule="auto"/>
      </w:pPr>
      <w:r>
        <w:rPr>
          <w:rFonts w:ascii="Times New Roman" w:hAnsi="Times New Roman" w:eastAsia="MS Mincho"/>
          <w:b w:val="0"/>
          <w:i w:val="0"/>
          <w:sz w:val="20"/>
        </w:rPr>
        <w:t>A title page with full author details and a Declarations section is included as a separate file.</w:t>
      </w:r>
    </w:p>
    <w:p>
      <w:pPr>
        <w:spacing w:after="0" w:before="0" w:line="360" w:lineRule="auto"/>
      </w:pPr>
    </w:p>
    <w:p>
      <w:pPr>
        <w:spacing w:after="40" w:line="360" w:lineRule="auto"/>
      </w:pPr>
      <w:r>
        <w:rPr>
          <w:rFonts w:ascii="Times New Roman" w:hAnsi="Times New Roman" w:eastAsia="MS Mincho"/>
          <w:b w:val="0"/>
          <w:i w:val="0"/>
          <w:sz w:val="20"/>
        </w:rPr>
        <w:t>I would be grateful for your consideration.</w:t>
      </w:r>
    </w:p>
    <w:p>
      <w:pPr>
        <w:spacing w:after="0" w:before="0" w:line="360" w:lineRule="auto"/>
      </w:pPr>
    </w:p>
    <w:p>
      <w:pPr>
        <w:spacing w:after="40" w:line="360" w:lineRule="auto"/>
      </w:pPr>
      <w:r>
        <w:rPr>
          <w:rFonts w:ascii="Times New Roman" w:hAnsi="Times New Roman" w:eastAsia="MS Mincho"/>
          <w:b w:val="0"/>
          <w:i w:val="0"/>
          <w:sz w:val="20"/>
        </w:rPr>
        <w:t>Yours sincerely,</w:t>
      </w:r>
    </w:p>
    <w:p>
      <w:pPr>
        <w:spacing w:after="0" w:before="0" w:line="360" w:lineRule="auto"/>
      </w:pPr>
    </w:p>
    <w:p>
      <w:pPr>
        <w:spacing w:after="40" w:line="360" w:lineRule="auto"/>
      </w:pPr>
      <w:r>
        <w:rPr>
          <w:rFonts w:ascii="Times New Roman" w:hAnsi="Times New Roman" w:eastAsia="MS Mincho"/>
          <w:b w:val="0"/>
          <w:i w:val="0"/>
          <w:sz w:val="20"/>
        </w:rPr>
        <w:t>Onishi Tatsuki</w:t>
      </w:r>
    </w:p>
    <w:p>
      <w:pPr>
        <w:spacing w:after="40" w:line="360" w:lineRule="auto"/>
      </w:pPr>
      <w:r>
        <w:rPr>
          <w:rFonts w:ascii="Times New Roman" w:hAnsi="Times New Roman" w:eastAsia="MS Mincho"/>
          <w:b w:val="0"/>
          <w:i w:val="0"/>
          <w:sz w:val="20"/>
        </w:rPr>
        <w:t>Data Science and AI Innovation Research Promotion Center</w:t>
      </w:r>
    </w:p>
    <w:p>
      <w:pPr>
        <w:spacing w:after="40" w:line="360" w:lineRule="auto"/>
      </w:pPr>
      <w:r>
        <w:rPr>
          <w:rFonts w:ascii="Times New Roman" w:hAnsi="Times New Roman" w:eastAsia="MS Mincho"/>
          <w:b w:val="0"/>
          <w:i w:val="0"/>
          <w:sz w:val="20"/>
        </w:rPr>
        <w:t>Shiga University</w:t>
      </w:r>
    </w:p>
    <w:p>
      <w:pPr>
        <w:spacing w:after="40" w:line="360" w:lineRule="auto"/>
      </w:pPr>
      <w:r>
        <w:rPr>
          <w:rFonts w:ascii="Times New Roman" w:hAnsi="Times New Roman" w:eastAsia="MS Mincho"/>
          <w:b w:val="0"/>
          <w:i w:val="0"/>
          <w:sz w:val="20"/>
        </w:rPr>
        <w:t>bougtoir@gmail.com</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