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line="360" w:lineRule="auto"/>
      </w:pPr>
      <w:r>
        <w:rPr>
          <w:rFonts w:ascii="Times New Roman" w:hAnsi="Times New Roman" w:eastAsia="MS Mincho"/>
          <w:b/>
          <w:i w:val="0"/>
          <w:sz w:val="24"/>
        </w:rPr>
        <w:t>Highlights</w:t>
      </w:r>
    </w:p>
    <w:p>
      <w:pPr>
        <w:spacing w:after="40" w:line="360" w:lineRule="auto"/>
        <w:ind w:left="720" w:hanging="360"/>
      </w:pPr>
      <w:r>
        <w:rPr>
          <w:rFonts w:ascii="Times New Roman" w:hAnsi="Times New Roman" w:eastAsia="MS Mincho"/>
          <w:b w:val="0"/>
          <w:i w:val="0"/>
          <w:sz w:val="20"/>
        </w:rPr>
        <w:t xml:space="preserve">•  </w:t>
      </w:r>
      <w:r>
        <w:rPr>
          <w:rFonts w:ascii="Times New Roman" w:hAnsi="Times New Roman" w:eastAsia="MS Mincho"/>
          <w:b w:val="0"/>
          <w:i w:val="0"/>
          <w:sz w:val="20"/>
        </w:rPr>
        <w:t>Investment gestation lags and omitted intangibles bias measured capital and TFP</w:t>
      </w:r>
    </w:p>
    <w:p>
      <w:pPr>
        <w:spacing w:after="40" w:line="360" w:lineRule="auto"/>
        <w:ind w:left="720" w:hanging="360"/>
      </w:pPr>
      <w:r>
        <w:rPr>
          <w:rFonts w:ascii="Times New Roman" w:hAnsi="Times New Roman" w:eastAsia="MS Mincho"/>
          <w:b w:val="0"/>
          <w:i w:val="0"/>
          <w:sz w:val="20"/>
        </w:rPr>
        <w:t xml:space="preserve">•  </w:t>
      </w:r>
      <w:r>
        <w:rPr>
          <w:rFonts w:ascii="Times New Roman" w:hAnsi="Times New Roman" w:eastAsia="MS Mincho"/>
          <w:b w:val="0"/>
          <w:i w:val="0"/>
          <w:sz w:val="20"/>
        </w:rPr>
        <w:t>Joint estimation of lag and intangible share reconciles flow and stock accounts</w:t>
      </w:r>
    </w:p>
    <w:p>
      <w:pPr>
        <w:spacing w:after="40" w:line="360" w:lineRule="auto"/>
        <w:ind w:left="720" w:hanging="360"/>
      </w:pPr>
      <w:r>
        <w:rPr>
          <w:rFonts w:ascii="Times New Roman" w:hAnsi="Times New Roman" w:eastAsia="MS Mincho"/>
          <w:b w:val="0"/>
          <w:i w:val="0"/>
          <w:sz w:val="20"/>
        </w:rPr>
        <w:t xml:space="preserve">•  </w:t>
      </w:r>
      <w:r>
        <w:rPr>
          <w:rFonts w:ascii="Times New Roman" w:hAnsi="Times New Roman" w:eastAsia="MS Mincho"/>
          <w:b w:val="0"/>
          <w:i w:val="0"/>
          <w:sz w:val="20"/>
        </w:rPr>
        <w:t>A parameter-free OECD asset-composition proxy validates the tempo correction</w:t>
      </w:r>
    </w:p>
    <w:p>
      <w:pPr>
        <w:spacing w:after="40" w:line="360" w:lineRule="auto"/>
        <w:ind w:left="720" w:hanging="360"/>
      </w:pPr>
      <w:r>
        <w:rPr>
          <w:rFonts w:ascii="Times New Roman" w:hAnsi="Times New Roman" w:eastAsia="MS Mincho"/>
          <w:b w:val="0"/>
          <w:i w:val="0"/>
          <w:sz w:val="20"/>
        </w:rPr>
        <w:t xml:space="preserve">•  </w:t>
      </w:r>
      <w:r>
        <w:rPr>
          <w:rFonts w:ascii="Times New Roman" w:hAnsi="Times New Roman" w:eastAsia="MS Mincho"/>
          <w:b w:val="0"/>
          <w:i w:val="0"/>
          <w:sz w:val="20"/>
        </w:rPr>
        <w:t>Median revisions: capital -4.3%, log TFP +1.7 pp, labour share +1.7 pp</w:t>
      </w:r>
    </w:p>
    <w:p>
      <w:pPr>
        <w:spacing w:after="40" w:line="360" w:lineRule="auto"/>
        <w:ind w:left="720" w:hanging="360"/>
      </w:pPr>
      <w:r>
        <w:rPr>
          <w:rFonts w:ascii="Times New Roman" w:hAnsi="Times New Roman" w:eastAsia="MS Mincho"/>
          <w:b w:val="0"/>
          <w:i w:val="0"/>
          <w:sz w:val="20"/>
        </w:rPr>
        <w:t xml:space="preserve">•  </w:t>
      </w:r>
      <w:r>
        <w:rPr>
          <w:rFonts w:ascii="Times New Roman" w:hAnsi="Times New Roman" w:eastAsia="MS Mincho"/>
          <w:b w:val="0"/>
          <w:i w:val="0"/>
          <w:sz w:val="20"/>
        </w:rPr>
        <w:t>Corrections concentrate where investment shifted to long-gestation assets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