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120" w:line="360" w:lineRule="auto"/>
        <w:ind w:firstLine="0"/>
        <w:jc w:val="center"/>
      </w:pPr>
      <w:r>
        <w:rPr>
          <w:rFonts w:ascii="Times New Roman" w:hAnsi="Times New Roman" w:eastAsia="MS Mincho"/>
          <w:b/>
          <w:i w:val="0"/>
          <w:sz w:val="32"/>
        </w:rPr>
        <w:t>Supporting Information</w:t>
      </w:r>
    </w:p>
    <w:p>
      <w:pPr>
        <w:spacing w:before="360" w:after="120" w:line="360" w:lineRule="auto"/>
        <w:ind w:firstLine="0"/>
        <w:jc w:val="left"/>
      </w:pPr>
      <w:r>
        <w:rPr>
          <w:rFonts w:ascii="Times New Roman" w:hAnsi="Times New Roman" w:eastAsia="MS Mincho"/>
          <w:b/>
          <w:i w:val="0"/>
          <w:sz w:val="24"/>
        </w:rPr>
        <w:t>S.1 Population–capital correspondence (Supplementary Table 1)</w:t>
      </w:r>
    </w:p>
    <w:p>
      <w:pPr>
        <w:spacing w:after="120" w:line="360" w:lineRule="auto"/>
        <w:ind w:firstLine="480"/>
      </w:pPr>
      <w:r>
        <w:rPr>
          <w:rFonts w:ascii="Times New Roman" w:hAnsi="Times New Roman" w:eastAsia="MS Mincho"/>
          <w:b w:val="0"/>
          <w:i w:val="0"/>
          <w:sz w:val="20"/>
        </w:rPr>
        <w:t>Supplementary Table 1 reports the one-to-one mapping between demographic and capital-accounting variables used in Sect. 3.4 of the main text.</w:t>
      </w:r>
    </w:p>
    <w:p>
      <w:pPr>
        <w:spacing w:before="360" w:after="120" w:line="360" w:lineRule="auto"/>
        <w:ind w:firstLine="0"/>
        <w:jc w:val="left"/>
      </w:pPr>
      <w:r>
        <w:rPr>
          <w:rFonts w:ascii="Times New Roman" w:hAnsi="Times New Roman" w:eastAsia="MS Mincho"/>
          <w:b/>
          <w:i w:val="0"/>
          <w:sz w:val="24"/>
        </w:rPr>
        <w:t>S.2 Observable asset-lag robustness (Supplementary Table 2)</w:t>
      </w:r>
    </w:p>
    <w:p>
      <w:pPr>
        <w:spacing w:after="120" w:line="360" w:lineRule="auto"/>
        <w:ind w:firstLine="480"/>
      </w:pPr>
      <w:r>
        <w:rPr>
          <w:rFonts w:ascii="Times New Roman" w:hAnsi="Times New Roman" w:eastAsia="MS Mincho"/>
          <w:b w:val="0"/>
          <w:i w:val="0"/>
          <w:sz w:val="20"/>
        </w:rPr>
        <w:t xml:space="preserve">Supplementary Table 2 reports the out-of-sample MAPE of the observable-tempo model </w:t>
      </w:r>
      <m:oMath xmlns:mml="http://www.w3.org/1998/Math/MathML">
        <m:box>
          <m:e>
            <m:sSub>
              <m:e>
                <m:r>
                  <m:rPr>
                    <m:sty m:val="i"/>
                  </m:rPr>
                  <m:t>M</m:t>
                </m:r>
              </m:e>
              <m:sub>
                <m:box>
                  <m:e>
                    <m:r>
                      <m:rPr>
                        <m:sty m:val="i"/>
                      </m:rPr>
                      <m:t>o</m:t>
                    </m:r>
                    <m:r>
                      <m:rPr>
                        <m:sty m:val="i"/>
                      </m:rPr>
                      <m:t>b</m:t>
                    </m:r>
                    <m:r>
                      <m:rPr>
                        <m:sty m:val="i"/>
                      </m:rPr>
                      <m:t>s</m:t>
                    </m:r>
                  </m:e>
                </m:box>
              </m:sub>
            </m:sSub>
          </m:e>
        </m:box>
      </m:oMath>
      <w:r>
        <w:rPr>
          <w:rFonts w:ascii="Times New Roman" w:hAnsi="Times New Roman" w:eastAsia="MS Mincho"/>
          <w:b w:val="0"/>
          <w:i w:val="0"/>
          <w:sz w:val="20"/>
        </w:rPr>
        <w:t xml:space="preserve"> when the asset-specific gestation lags taken from the literature are scaled by factors from 0.5 to 2.0. The median MAPE remains below 4.4 % across all scaling factors, confirming that the </w:t>
      </w:r>
      <m:oMath xmlns:mml="http://www.w3.org/1998/Math/MathML">
        <m:box>
          <m:e>
            <m:sSub>
              <m:e>
                <m:r>
                  <m:rPr>
                    <m:sty m:val="i"/>
                  </m:rPr>
                  <m:t>M</m:t>
                </m:r>
              </m:e>
              <m:sub>
                <m:box>
                  <m:e>
                    <m:r>
                      <m:rPr>
                        <m:sty m:val="i"/>
                      </m:rPr>
                      <m:t>o</m:t>
                    </m:r>
                    <m:r>
                      <m:rPr>
                        <m:sty m:val="i"/>
                      </m:rPr>
                      <m:t>b</m:t>
                    </m:r>
                    <m:r>
                      <m:rPr>
                        <m:sty m:val="i"/>
                      </m:rPr>
                      <m:t>s</m:t>
                    </m:r>
                  </m:e>
                </m:box>
              </m:sub>
            </m:sSub>
          </m:e>
        </m:box>
      </m:oMath>
      <w:r>
        <w:rPr>
          <w:rFonts w:ascii="Times New Roman" w:hAnsi="Times New Roman" w:eastAsia="MS Mincho"/>
          <w:b w:val="0"/>
          <w:i w:val="0"/>
          <w:sz w:val="20"/>
        </w:rPr>
        <w:t xml:space="preserve"> correction is robust to moderate misspecification of individual asset lags.</w:t>
      </w:r>
    </w:p>
    <w:p>
      <w:pPr>
        <w:spacing w:before="360" w:after="120" w:line="360" w:lineRule="auto"/>
        <w:ind w:firstLine="0"/>
        <w:jc w:val="left"/>
      </w:pPr>
      <w:r>
        <w:rPr>
          <w:rFonts w:ascii="Times New Roman" w:hAnsi="Times New Roman" w:eastAsia="MS Mincho"/>
          <w:b/>
          <w:i w:val="0"/>
          <w:sz w:val="24"/>
        </w:rPr>
        <w:t>S.3 In-sample growth RMSE ranking (Supplementary Figure 1)</w:t>
      </w:r>
    </w:p>
    <w:p>
      <w:pPr>
        <w:spacing w:before="360" w:after="120"/>
        <w:jc w:val="center"/>
      </w:pPr>
      <w:r>
        <w:drawing>
          <wp:inline xmlns:a="http://schemas.openxmlformats.org/drawingml/2006/main" xmlns:pic="http://schemas.openxmlformats.org/drawingml/2006/picture">
            <wp:extent cx="5669280" cy="4638502"/>
            <wp:docPr id="1" name="Picture 1"/>
            <wp:cNvGraphicFramePr>
              <a:graphicFrameLocks noChangeAspect="1"/>
            </wp:cNvGraphicFramePr>
            <a:graphic>
              <a:graphicData uri="http://schemas.openxmlformats.org/drawingml/2006/picture">
                <pic:pic>
                  <pic:nvPicPr>
                    <pic:cNvPr id="0" name="fig1_m_ranking_en.png"/>
                    <pic:cNvPicPr/>
                  </pic:nvPicPr>
                  <pic:blipFill>
                    <a:blip r:embed="rId9"/>
                    <a:stretch>
                      <a:fillRect/>
                    </a:stretch>
                  </pic:blipFill>
                  <pic:spPr>
                    <a:xfrm>
                      <a:off x="0" y="0"/>
                      <a:ext cx="5669280" cy="4638502"/>
                    </a:xfrm>
                    <a:prstGeom prst="rect"/>
                  </pic:spPr>
                </pic:pic>
              </a:graphicData>
            </a:graphic>
          </wp:inline>
        </w:drawing>
      </w:r>
    </w:p>
    <w:p>
      <w:pPr>
        <w:spacing w:after="240"/>
        <w:jc w:val="center"/>
      </w:pPr>
      <w:r>
        <w:rPr>
          <w:rFonts w:ascii="Times New Roman" w:hAnsi="Times New Roman" w:eastAsia="MS Mincho"/>
          <w:b/>
          <w:i w:val="0"/>
          <w:sz w:val="20"/>
        </w:rPr>
        <w:t xml:space="preserve">Supplementary Fig. 1. </w:t>
      </w:r>
      <w:r>
        <w:rPr>
          <w:rFonts w:ascii="Times New Roman" w:hAnsi="Times New Roman" w:eastAsia="MS Mincho"/>
          <w:b w:val="0"/>
          <w:i w:val="0"/>
          <w:sz w:val="20"/>
        </w:rPr>
        <w:t>In-sample 1-year GDP growth RMSE across M0–M4 for 39 countries (lower is better).</w:t>
      </w:r>
    </w:p>
    <w:p>
      <w:pPr>
        <w:spacing w:after="120" w:line="360" w:lineRule="auto"/>
        <w:ind w:firstLine="480"/>
      </w:pPr>
      <w:r>
        <w:rPr>
          <w:rFonts w:ascii="Times New Roman" w:hAnsi="Times New Roman" w:eastAsia="MS Mincho"/>
          <w:b w:val="0"/>
          <w:i w:val="0"/>
          <w:sz w:val="20"/>
        </w:rPr>
        <w:t xml:space="preserve">Supplementary Figure 1 ranks the 39 countries by in-sample growth RMSE under M0 and overlays M1–M4 and </w:t>
      </w:r>
      <m:oMath xmlns:mml="http://www.w3.org/1998/Math/MathML">
        <m:box>
          <m:e>
            <m:sSub>
              <m:e>
                <m:r>
                  <m:rPr>
                    <m:sty m:val="i"/>
                  </m:rPr>
                  <m:t>M</m:t>
                </m:r>
              </m:e>
              <m:sub>
                <m:box>
                  <m:e>
                    <m:r>
                      <m:rPr>
                        <m:sty m:val="i"/>
                      </m:rPr>
                      <m:t>o</m:t>
                    </m:r>
                    <m:r>
                      <m:rPr>
                        <m:sty m:val="i"/>
                      </m:rPr>
                      <m:t>b</m:t>
                    </m:r>
                    <m:r>
                      <m:rPr>
                        <m:sty m:val="i"/>
                      </m:rPr>
                      <m:t>s</m:t>
                    </m:r>
                  </m:e>
                </m:box>
              </m:sub>
            </m:sSub>
            <m:r>
              <m:rPr>
                <m:sty m:val="p"/>
              </m:rPr>
              <m:t>.</m:t>
            </m:r>
          </m:e>
        </m:box>
      </m:oMath>
    </w:p>
    <w:p>
      <w:pPr>
        <w:spacing w:before="360" w:after="120" w:line="360" w:lineRule="auto"/>
        <w:ind w:firstLine="0"/>
        <w:jc w:val="left"/>
      </w:pPr>
      <w:r>
        <w:rPr>
          <w:rFonts w:ascii="Times New Roman" w:hAnsi="Times New Roman" w:eastAsia="MS Mincho"/>
          <w:b/>
          <w:i w:val="0"/>
          <w:sz w:val="24"/>
        </w:rPr>
        <w:t>S.4 Historical episodes and counterfactual wealth narrative (Supplementary Tables 3 and 4)</w:t>
      </w:r>
    </w:p>
    <w:p>
      <w:pPr>
        <w:spacing w:after="120" w:line="360" w:lineRule="auto"/>
        <w:ind w:firstLine="480"/>
      </w:pPr>
      <w:r>
        <w:rPr>
          <w:rFonts w:ascii="Times New Roman" w:hAnsi="Times New Roman" w:eastAsia="MS Mincho"/>
          <w:b w:val="0"/>
          <w:i w:val="0"/>
          <w:sz w:val="20"/>
        </w:rPr>
        <w:t>Supplementary Table 3 translates the Solow-residual decomposition of Sect. 5.5 into concrete historical episodes. Episodes are selected from well-documented macroeconomic events in the largest OECD economies and the Republic of Korea — Japan's asset-price collapse and the global financial crisis, the United States dot-com boom and global financial crisis, Germany's reunification and global financial crisis, and the 1997–1999 Asian crisis — and are required to have at least three years of data. The selection deliberately contrasts high- and low-investment-gestation regimes and is not driven by the magnitude of the estimated artifact. The 1997–1999 Asian-crisis episode for the Republic of Korea shows the largest tempo artefact: the conventional M0 residual attributes positive TFP growth to the crisis years, but the tempo-corrected M2 and joint M4 series report much lower TFP growth, with the joint correction removing roughly three-quarters of the apparent productivity gain. For the United States, the dot-com boom and the global financial crisis display smaller and partly offsetting artefacts, while Japan's lost decade and the 2007–2009 crisis show no meaningful tempo artefact because investment composition was stable during those episodes.</w:t>
      </w:r>
    </w:p>
    <w:p>
      <w:pPr>
        <w:spacing w:after="120" w:line="360" w:lineRule="auto"/>
        <w:ind w:firstLine="480"/>
      </w:pPr>
      <w:r>
        <w:rPr>
          <w:rFonts w:ascii="Times New Roman" w:hAnsi="Times New Roman" w:eastAsia="MS Mincho"/>
          <w:b w:val="0"/>
          <w:i w:val="0"/>
          <w:sz w:val="20"/>
        </w:rPr>
        <w:t>Supplementary Table 4 reports the country-level wealth adjustment that would follow if the joint-identified intangible share beta were included in official produced-capital accounts. The adjustment is largest for the Netherlands, France and Norway (about 0.9–1.1 percent of produced capital), and smaller for economies with lower R&amp;D intensity. These are lower-bound adjustments because the intangible stock is proxied by R&amp;D expenditure only; Supplementary Table 4 therefore also reports 1.5×, 2.0× and 3.0× scalings of the R&amp;D-based proxy to bracket the broader intangible-capital totals reported by Corrado et al. (2005, 2009). Even the 3.0× scaling leaves the implied produced-capital revision below 4 % for all countries, confirming that the correction is quantitatively modest in aggregate but concentrated in the most innovation-intensive economies.</w:t>
      </w:r>
    </w:p>
    <w:p>
      <w:pPr>
        <w:spacing w:before="360" w:after="120" w:line="360" w:lineRule="auto"/>
        <w:ind w:firstLine="0"/>
        <w:jc w:val="left"/>
      </w:pPr>
      <w:r>
        <w:rPr>
          <w:rFonts w:ascii="Times New Roman" w:hAnsi="Times New Roman" w:eastAsia="MS Mincho"/>
          <w:b/>
          <w:i w:val="0"/>
          <w:sz w:val="24"/>
        </w:rPr>
        <w:t>S.5 Solow-residual variance decomposition (Supplementary Table 5)</w:t>
      </w:r>
    </w:p>
    <w:p>
      <w:pPr>
        <w:spacing w:after="120" w:line="360" w:lineRule="auto"/>
        <w:ind w:firstLine="480"/>
      </w:pPr>
      <w:r>
        <w:rPr>
          <w:rFonts w:ascii="Times New Roman" w:hAnsi="Times New Roman" w:eastAsia="MS Mincho"/>
          <w:b w:val="0"/>
          <w:i w:val="0"/>
          <w:sz w:val="20"/>
        </w:rPr>
        <w:t>Supplementary Table 5 reports the country-level percentage reduction in TFP-growth variance when moving from M0 to M2 (tempo drift only) and from M0 to M4 (joint tempo + intangible).</w:t>
      </w:r>
    </w:p>
    <w:p>
      <w:pPr>
        <w:spacing w:before="360" w:after="120" w:line="360" w:lineRule="auto"/>
        <w:ind w:firstLine="0"/>
        <w:jc w:val="left"/>
      </w:pPr>
      <w:r>
        <w:rPr>
          <w:rFonts w:ascii="Times New Roman" w:hAnsi="Times New Roman" w:eastAsia="MS Mincho"/>
          <w:b/>
          <w:i w:val="0"/>
          <w:sz w:val="24"/>
        </w:rPr>
        <w:t>S.6 TFP paths under alternative models (Supplementary Figure 2)</w:t>
      </w:r>
    </w:p>
    <w:p>
      <w:pPr>
        <w:spacing w:before="360" w:after="120"/>
        <w:jc w:val="center"/>
      </w:pPr>
      <w:r>
        <w:drawing>
          <wp:inline xmlns:a="http://schemas.openxmlformats.org/drawingml/2006/main" xmlns:pic="http://schemas.openxmlformats.org/drawingml/2006/picture">
            <wp:extent cx="5669280" cy="3356595"/>
            <wp:docPr id="2" name="Picture 2"/>
            <wp:cNvGraphicFramePr>
              <a:graphicFrameLocks noChangeAspect="1"/>
            </wp:cNvGraphicFramePr>
            <a:graphic>
              <a:graphicData uri="http://schemas.openxmlformats.org/drawingml/2006/picture">
                <pic:pic>
                  <pic:nvPicPr>
                    <pic:cNvPr id="0" name="fig13_solow_decomp_en.png"/>
                    <pic:cNvPicPr/>
                  </pic:nvPicPr>
                  <pic:blipFill>
                    <a:blip r:embed="rId10"/>
                    <a:stretch>
                      <a:fillRect/>
                    </a:stretch>
                  </pic:blipFill>
                  <pic:spPr>
                    <a:xfrm>
                      <a:off x="0" y="0"/>
                      <a:ext cx="5669280" cy="3356595"/>
                    </a:xfrm>
                    <a:prstGeom prst="rect"/>
                  </pic:spPr>
                </pic:pic>
              </a:graphicData>
            </a:graphic>
          </wp:inline>
        </w:drawing>
      </w:r>
    </w:p>
    <w:p>
      <w:pPr>
        <w:spacing w:after="240"/>
        <w:jc w:val="center"/>
      </w:pPr>
      <w:r>
        <w:rPr>
          <w:rFonts w:ascii="Times New Roman" w:hAnsi="Times New Roman" w:eastAsia="MS Mincho"/>
          <w:b/>
          <w:i w:val="0"/>
          <w:sz w:val="20"/>
        </w:rPr>
        <w:t xml:space="preserve">Supplementary Fig. 2. </w:t>
      </w:r>
      <w:r>
        <w:rPr>
          <w:rFonts w:ascii="Times New Roman" w:hAnsi="Times New Roman" w:eastAsia="MS Mincho"/>
          <w:b w:val="0"/>
          <w:i w:val="0"/>
          <w:sz w:val="20"/>
        </w:rPr>
        <w:t>Solow-residual decomposition: M0 vs tempo-adjusted (M2) vs joint (M4) for six representative countries.</w:t>
      </w:r>
    </w:p>
    <w:p>
      <w:pPr>
        <w:spacing w:after="120" w:line="360" w:lineRule="auto"/>
        <w:ind w:firstLine="480"/>
      </w:pPr>
      <w:r>
        <w:rPr>
          <w:rFonts w:ascii="Times New Roman" w:hAnsi="Times New Roman" w:eastAsia="MS Mincho"/>
          <w:b w:val="0"/>
          <w:i w:val="0"/>
          <w:sz w:val="20"/>
        </w:rPr>
        <w:t>Supplementary Figure 2 displays the time-series TFP paths for six representative countries (Japan, the United States, Germany, the Republic of Korea, the United Kingdom, and France) under M0, M2, and M4.</w:t>
      </w:r>
    </w:p>
    <w:p>
      <w:pPr>
        <w:spacing w:before="360" w:after="120" w:line="360" w:lineRule="auto"/>
        <w:ind w:firstLine="0"/>
        <w:jc w:val="left"/>
      </w:pPr>
      <w:r>
        <w:rPr>
          <w:rFonts w:ascii="Times New Roman" w:hAnsi="Times New Roman" w:eastAsia="MS Mincho"/>
          <w:b/>
          <w:i w:val="0"/>
          <w:sz w:val="24"/>
        </w:rPr>
        <w:t>S.7 Asset-composition determinants of RPIM diagnostics (Supplementary Figure 3)</w:t>
      </w:r>
    </w:p>
    <w:p>
      <w:pPr>
        <w:spacing w:before="360" w:after="120"/>
        <w:jc w:val="center"/>
      </w:pPr>
      <w:r>
        <w:drawing>
          <wp:inline xmlns:a="http://schemas.openxmlformats.org/drawingml/2006/main" xmlns:pic="http://schemas.openxmlformats.org/drawingml/2006/picture">
            <wp:extent cx="5669280" cy="2447014"/>
            <wp:docPr id="3" name="Picture 3"/>
            <wp:cNvGraphicFramePr>
              <a:graphicFrameLocks noChangeAspect="1"/>
            </wp:cNvGraphicFramePr>
            <a:graphic>
              <a:graphicData uri="http://schemas.openxmlformats.org/drawingml/2006/picture">
                <pic:pic>
                  <pic:nvPicPr>
                    <pic:cNvPr id="0" name="fig9_rho2_regression_en.png"/>
                    <pic:cNvPicPr/>
                  </pic:nvPicPr>
                  <pic:blipFill>
                    <a:blip r:embed="rId11"/>
                    <a:stretch>
                      <a:fillRect/>
                    </a:stretch>
                  </pic:blipFill>
                  <pic:spPr>
                    <a:xfrm>
                      <a:off x="0" y="0"/>
                      <a:ext cx="5669280" cy="2447014"/>
                    </a:xfrm>
                    <a:prstGeom prst="rect"/>
                  </pic:spPr>
                </pic:pic>
              </a:graphicData>
            </a:graphic>
          </wp:inline>
        </w:drawing>
      </w:r>
    </w:p>
    <w:p>
      <w:pPr>
        <w:spacing w:after="240"/>
        <w:jc w:val="center"/>
      </w:pPr>
      <w:r>
        <w:rPr>
          <w:rFonts w:ascii="Times New Roman" w:hAnsi="Times New Roman" w:eastAsia="MS Mincho"/>
          <w:b/>
          <w:i w:val="0"/>
          <w:sz w:val="20"/>
        </w:rPr>
        <w:t xml:space="preserve">Supplementary Fig. 3. </w:t>
      </w:r>
      <w:r>
        <w:rPr>
          <w:rFonts w:ascii="Times New Roman" w:hAnsi="Times New Roman" w:eastAsia="MS Mincho"/>
          <w:b w:val="0"/>
          <w:i w:val="0"/>
          <w:sz w:val="20"/>
        </w:rPr>
        <w:t>Cross-sectional regression of ρ̂₂ on R&amp;D intensity.</w:t>
      </w:r>
    </w:p>
    <w:p>
      <w:pPr>
        <w:spacing w:after="120" w:line="360" w:lineRule="auto"/>
        <w:ind w:firstLine="480"/>
      </w:pPr>
      <w:r>
        <w:rPr>
          <w:rFonts w:ascii="Times New Roman" w:hAnsi="Times New Roman" w:eastAsia="MS Mincho"/>
          <w:b w:val="0"/>
          <w:i w:val="0"/>
          <w:sz w:val="20"/>
        </w:rPr>
        <w:t xml:space="preserve">A natural question is whether the cross-country variation in </w:t>
      </w:r>
      <m:oMath xmlns:mml="http://www.w3.org/1998/Math/MathML">
        <m:box>
          <m:e>
            <m:sSub>
              <m:e>
                <m:acc>
                  <m:accPr>
                    <m:chr m:val="^"/>
                  </m:accPr>
                  <m:e>
                    <m:r>
                      <m:rPr>
                        <m:sty m:val="i"/>
                      </m:rPr>
                      <m:t>ρ</m:t>
                    </m:r>
                  </m:e>
                </m:acc>
              </m:e>
              <m:sub>
                <m:r>
                  <m:rPr>
                    <m:sty m:val="p"/>
                  </m:rPr>
                  <m:t>2</m:t>
                </m:r>
              </m:sub>
            </m:sSub>
          </m:e>
        </m:box>
      </m:oMath>
      <w:r>
        <w:rPr>
          <w:rFonts w:ascii="Times New Roman" w:hAnsi="Times New Roman" w:eastAsia="MS Mincho"/>
          <w:b w:val="0"/>
          <w:i w:val="0"/>
          <w:sz w:val="20"/>
        </w:rPr>
        <w:t xml:space="preserve"> reflects observable differences in asset composition. Countries with a higher share of intangible and R&amp;D-intensive investment might be expected to show larger PIM–CWON divergences (lower </w:t>
      </w:r>
      <m:oMath xmlns:mml="http://www.w3.org/1998/Math/MathML">
        <m:box>
          <m:e>
            <m:sSub>
              <m:e>
                <m:acc>
                  <m:accPr>
                    <m:chr m:val="^"/>
                  </m:accPr>
                  <m:e>
                    <m:r>
                      <m:rPr>
                        <m:sty m:val="i"/>
                      </m:rPr>
                      <m:t>ρ</m:t>
                    </m:r>
                  </m:e>
                </m:acc>
              </m:e>
              <m:sub>
                <m:r>
                  <m:rPr>
                    <m:sty m:val="p"/>
                  </m:rPr>
                  <m:t>2</m:t>
                </m:r>
              </m:sub>
            </m:sSub>
          </m:e>
        </m:box>
      </m:oMath>
      <w:r>
        <w:rPr>
          <w:rFonts w:ascii="Times New Roman" w:hAnsi="Times New Roman" w:eastAsia="MS Mincho"/>
          <w:b w:val="0"/>
          <w:i w:val="0"/>
          <w:sz w:val="20"/>
        </w:rPr>
        <w:t xml:space="preserve">) if their PIM construction omits intangibles, or higher </w:t>
      </w:r>
      <m:oMath xmlns:mml="http://www.w3.org/1998/Math/MathML">
        <m:box>
          <m:e>
            <m:sSub>
              <m:e>
                <m:acc>
                  <m:accPr>
                    <m:chr m:val="^"/>
                  </m:accPr>
                  <m:e>
                    <m:r>
                      <m:rPr>
                        <m:sty m:val="i"/>
                      </m:rPr>
                      <m:t>ρ</m:t>
                    </m:r>
                  </m:e>
                </m:acc>
              </m:e>
              <m:sub>
                <m:r>
                  <m:rPr>
                    <m:sty m:val="p"/>
                  </m:rPr>
                  <m:t>2</m:t>
                </m:r>
              </m:sub>
            </m:sSub>
          </m:e>
        </m:box>
      </m:oMath>
      <w:r>
        <w:rPr>
          <w:rFonts w:ascii="Times New Roman" w:hAnsi="Times New Roman" w:eastAsia="MS Mincho"/>
          <w:b w:val="0"/>
          <w:i w:val="0"/>
          <w:sz w:val="20"/>
        </w:rPr>
        <w:t xml:space="preserve"> if the tempo and intangible corrections in M4 successfully account for the discrepancy.</w:t>
      </w:r>
    </w:p>
    <w:p>
      <w:pPr>
        <w:spacing w:after="120" w:line="360" w:lineRule="auto"/>
        <w:ind w:firstLine="480"/>
      </w:pPr>
      <w:r>
        <w:rPr>
          <w:rFonts w:ascii="Times New Roman" w:hAnsi="Times New Roman" w:eastAsia="MS Mincho"/>
          <w:b w:val="0"/>
          <w:i w:val="0"/>
          <w:sz w:val="20"/>
        </w:rPr>
        <w:t xml:space="preserve">Supplementary Figure 3 reports a cross-sectional OLS regression of </w:t>
      </w:r>
      <m:oMath xmlns:mml="http://www.w3.org/1998/Math/MathML">
        <m:box>
          <m:e>
            <m:sSub>
              <m:e>
                <m:acc>
                  <m:accPr>
                    <m:chr m:val="^"/>
                  </m:accPr>
                  <m:e>
                    <m:r>
                      <m:rPr>
                        <m:sty m:val="i"/>
                      </m:rPr>
                      <m:t>ρ</m:t>
                    </m:r>
                  </m:e>
                </m:acc>
              </m:e>
              <m:sub>
                <m:r>
                  <m:rPr>
                    <m:sty m:val="p"/>
                  </m:rPr>
                  <m:t>2</m:t>
                </m:r>
              </m:sub>
            </m:sSub>
          </m:e>
        </m:box>
      </m:oMath>
      <w:r>
        <w:rPr>
          <w:rFonts w:ascii="Times New Roman" w:hAnsi="Times New Roman" w:eastAsia="MS Mincho"/>
          <w:b w:val="0"/>
          <w:i w:val="0"/>
          <w:sz w:val="20"/>
        </w:rPr>
        <w:t xml:space="preserve"> on mean R&amp;D expenditure as a share of GDP (World Bank WDI). Under M0, the slope is positive (0.054) but not significant at 5 % using heteroscedasticity-consistent (HC1) standard errors (robust SE = 0.034, t = 1.56, p = 0.128; OLS t = 1.82, R² = 0.082, n = 39). The non-parametric Spearman correlation is also borderline (</w:t>
      </w:r>
      <m:oMath xmlns:mml="http://www.w3.org/1998/Math/MathML">
        <m:box>
          <m:e>
            <m:r>
              <m:rPr>
                <m:sty m:val="i"/>
              </m:rPr>
              <m:t>ρ</m:t>
            </m:r>
            <m:r>
              <m:rPr>
                <m:sty m:val="p"/>
              </m:rPr>
              <m:t>=</m:t>
            </m:r>
            <m:r>
              <m:rPr>
                <m:sty m:val="p"/>
              </m:rPr>
              <m:t>0.29</m:t>
            </m:r>
          </m:e>
        </m:box>
      </m:oMath>
      <w:r>
        <w:rPr>
          <w:rFonts w:ascii="Times New Roman" w:hAnsi="Times New Roman" w:eastAsia="MS Mincho"/>
          <w:b w:val="0"/>
          <w:i w:val="0"/>
          <w:sz w:val="20"/>
        </w:rPr>
        <w:t>, p = 0.075). Under M4, the slope increases to 0.068 (robust SE = 0.033, t = 2.09, p = 0.043; OLS t = 2.34, R² = 0.129), and the Spearman correlation is significant (</w:t>
      </w:r>
      <m:oMath xmlns:mml="http://www.w3.org/1998/Math/MathML">
        <m:box>
          <m:e>
            <m:r>
              <m:rPr>
                <m:sty m:val="i"/>
              </m:rPr>
              <m:t>ρ</m:t>
            </m:r>
            <m:r>
              <m:rPr>
                <m:sty m:val="p"/>
              </m:rPr>
              <m:t>=</m:t>
            </m:r>
            <m:r>
              <m:rPr>
                <m:sty m:val="p"/>
              </m:rPr>
              <m:t>0.37</m:t>
            </m:r>
          </m:e>
        </m:box>
      </m:oMath>
      <w:r>
        <w:rPr>
          <w:rFonts w:ascii="Times New Roman" w:hAnsi="Times New Roman" w:eastAsia="MS Mincho"/>
          <w:b w:val="0"/>
          <w:i w:val="0"/>
          <w:sz w:val="20"/>
        </w:rPr>
        <w:t>, p = 0.019). A leave-one-out sensitivity check shows that the M4 slope remains positive and significant in 25 of 39 countries, indicating that the association does not depend on a single outlier. After the tempo and intangible corrections, the link between R&amp;D intensity and PIM–CWON consistency is therefore both statistically sharper and more robust to individual-country influence.</w:t>
      </w:r>
    </w:p>
    <w:p>
      <w:pPr>
        <w:spacing w:after="120" w:line="360" w:lineRule="auto"/>
        <w:ind w:firstLine="480"/>
      </w:pPr>
      <w:r>
        <w:rPr>
          <w:rFonts w:ascii="Times New Roman" w:hAnsi="Times New Roman" w:eastAsia="MS Mincho"/>
          <w:b w:val="0"/>
          <w:i w:val="0"/>
          <w:sz w:val="20"/>
        </w:rPr>
        <w:t xml:space="preserve">The cross-sectional R² remains modest (12.9 %), reflecting the many other sources of PIM–CWON divergence (land-price revaluations, natural-resource rents, differences in asset-life assumptions). The result should therefore be read as suggestive rather than conclusive: </w:t>
      </w:r>
      <m:oMath xmlns:mml="http://www.w3.org/1998/Math/MathML">
        <m:box>
          <m:e>
            <m:sSub>
              <m:e>
                <m:acc>
                  <m:accPr>
                    <m:chr m:val="^"/>
                  </m:accPr>
                  <m:e>
                    <m:r>
                      <m:rPr>
                        <m:sty m:val="i"/>
                      </m:rPr>
                      <m:t>ρ</m:t>
                    </m:r>
                  </m:e>
                </m:acc>
              </m:e>
              <m:sub>
                <m:r>
                  <m:rPr>
                    <m:sty m:val="p"/>
                  </m:rPr>
                  <m:t>2</m:t>
                </m:r>
              </m:sub>
            </m:sSub>
          </m:e>
        </m:box>
      </m:oMath>
      <w:r>
        <w:rPr>
          <w:rFonts w:ascii="Times New Roman" w:hAnsi="Times New Roman" w:eastAsia="MS Mincho"/>
          <w:b w:val="0"/>
          <w:i w:val="0"/>
          <w:sz w:val="20"/>
        </w:rPr>
        <w:t xml:space="preserve"> is not random noise but reflects, in part, observable asset-composition differences across countries. This provides indirect engagement with the asset-specific profiles that a single-asset PIM cannot directly model, and points toward a natural extension in which </w:t>
      </w:r>
      <m:oMath xmlns:mml="http://www.w3.org/1998/Math/MathML">
        <m:box>
          <m:e>
            <m:sSub>
              <m:e>
                <m:acc>
                  <m:accPr>
                    <m:chr m:val="^"/>
                  </m:accPr>
                  <m:e>
                    <m:r>
                      <m:rPr>
                        <m:sty m:val="i"/>
                      </m:rPr>
                      <m:t>ρ</m:t>
                    </m:r>
                  </m:e>
                </m:acc>
              </m:e>
              <m:sub>
                <m:r>
                  <m:rPr>
                    <m:sty m:val="p"/>
                  </m:rPr>
                  <m:t>2</m:t>
                </m:r>
              </m:sub>
            </m:sSub>
          </m:e>
        </m:box>
      </m:oMath>
      <w:r>
        <w:rPr>
          <w:rFonts w:ascii="Times New Roman" w:hAnsi="Times New Roman" w:eastAsia="MS Mincho"/>
          <w:b w:val="0"/>
          <w:i w:val="0"/>
          <w:sz w:val="20"/>
        </w:rPr>
        <w:t xml:space="preserve"> is decomposed by asset class as multi-asset PIM data become available.</w:t>
      </w:r>
    </w:p>
    <w:p>
      <w:pPr>
        <w:spacing w:before="360" w:after="120" w:line="360" w:lineRule="auto"/>
        <w:ind w:firstLine="0"/>
        <w:jc w:val="left"/>
      </w:pPr>
      <w:r>
        <w:rPr>
          <w:rFonts w:ascii="Times New Roman" w:hAnsi="Times New Roman" w:eastAsia="MS Mincho"/>
          <w:b/>
          <w:i w:val="0"/>
          <w:sz w:val="24"/>
        </w:rPr>
        <w:t>S.8 Stock-side intangibles: the forgotten β</w:t>
      </w:r>
    </w:p>
    <w:p>
      <w:pPr>
        <w:spacing w:after="120" w:line="360" w:lineRule="auto"/>
        <w:ind w:firstLine="480"/>
      </w:pPr>
      <w:r>
        <w:rPr>
          <w:rFonts w:ascii="Times New Roman" w:hAnsi="Times New Roman" w:eastAsia="MS Mincho"/>
          <w:b w:val="0"/>
          <w:i w:val="0"/>
          <w:sz w:val="20"/>
        </w:rPr>
        <w:t xml:space="preserve">Let </w:t>
      </w:r>
      <m:oMath xmlns:mml="http://www.w3.org/1998/Math/MathML">
        <m:box>
          <m:e>
            <m:sSub>
              <m:e>
                <m:r>
                  <m:rPr>
                    <m:sty m:val="i"/>
                  </m:rPr>
                  <m:t>K</m:t>
                </m:r>
              </m:e>
              <m:sub>
                <m:box>
                  <m:e>
                    <m:r>
                      <m:rPr>
                        <m:sty m:val="i"/>
                      </m:rPr>
                      <m:t>t</m:t>
                    </m:r>
                    <m:r>
                      <m:rPr>
                        <m:sty m:val="i"/>
                      </m:rPr>
                      <m:t>a</m:t>
                    </m:r>
                    <m:r>
                      <m:rPr>
                        <m:sty m:val="i"/>
                      </m:rPr>
                      <m:t>n</m:t>
                    </m:r>
                    <m:r>
                      <m:rPr>
                        <m:sty m:val="i"/>
                      </m:rPr>
                      <m:t>g</m:t>
                    </m:r>
                  </m:e>
                </m:box>
              </m:sub>
            </m:sSub>
            <m:r>
              <m:rPr>
                <m:sty m:val="p"/>
              </m:rPr>
              <m:t>(</m:t>
            </m:r>
            <m:r>
              <m:rPr>
                <m:sty m:val="i"/>
              </m:rPr>
              <m:t>t</m:t>
            </m:r>
            <m:r>
              <m:rPr>
                <m:sty m:val="p"/>
              </m:rPr>
              <m:t>)</m:t>
            </m:r>
          </m:e>
        </m:box>
      </m:oMath>
      <w:r>
        <w:rPr>
          <w:rFonts w:ascii="Times New Roman" w:hAnsi="Times New Roman" w:eastAsia="MS Mincho"/>
          <w:b w:val="0"/>
          <w:i w:val="0"/>
          <w:sz w:val="20"/>
        </w:rPr>
        <w:t xml:space="preserve"> be the tangible PIM stock from (M1)–(M2) and </w:t>
      </w:r>
      <m:oMath xmlns:mml="http://www.w3.org/1998/Math/MathML">
        <m:box>
          <m:e>
            <m:sSub>
              <m:e>
                <m:r>
                  <m:rPr>
                    <m:sty m:val="i"/>
                  </m:rPr>
                  <m:t>K</m:t>
                </m:r>
              </m:e>
              <m:sub>
                <m:box>
                  <m:e>
                    <m:r>
                      <m:rPr>
                        <m:sty m:val="i"/>
                      </m:rPr>
                      <m:t>I</m:t>
                    </m:r>
                  </m:e>
                </m:box>
              </m:sub>
            </m:sSub>
            <m:r>
              <m:rPr>
                <m:sty m:val="p"/>
              </m:rPr>
              <m:t>(</m:t>
            </m:r>
            <m:r>
              <m:rPr>
                <m:sty m:val="i"/>
              </m:rPr>
              <m:t>t</m:t>
            </m:r>
            <m:r>
              <m:rPr>
                <m:sty m:val="p"/>
              </m:rPr>
              <m:t>)</m:t>
            </m:r>
          </m:e>
        </m:box>
      </m:oMath>
      <w:r>
        <w:rPr>
          <w:rFonts w:ascii="Times New Roman" w:hAnsi="Times New Roman" w:eastAsia="MS Mincho"/>
          <w:b w:val="0"/>
          <w:i w:val="0"/>
          <w:sz w:val="20"/>
        </w:rPr>
        <w:t xml:space="preserve"> be an intangible stock built from R&amp;D expenditure by a geometric PIM with depreciation </w:t>
      </w:r>
      <m:oMath xmlns:mml="http://www.w3.org/1998/Math/MathML">
        <m:box>
          <m:e>
            <m:sSub>
              <m:e>
                <m:r>
                  <m:rPr>
                    <m:sty m:val="i"/>
                  </m:rPr>
                  <m:t>δ</m:t>
                </m:r>
              </m:e>
              <m:sub>
                <m:box>
                  <m:e>
                    <m:r>
                      <m:rPr>
                        <m:sty m:val="i"/>
                      </m:rPr>
                      <m:t>I</m:t>
                    </m:r>
                  </m:e>
                </m:box>
              </m:sub>
            </m:sSub>
            <m:r>
              <m:rPr>
                <m:sty m:val="p"/>
              </m:rPr>
              <m:t>=</m:t>
            </m:r>
            <m:r>
              <m:rPr>
                <m:sty m:val="p"/>
              </m:rPr>
              <m:t>0.15</m:t>
            </m:r>
          </m:e>
        </m:box>
      </m:oMath>
      <w:r>
        <w:rPr>
          <w:rFonts w:ascii="Times New Roman" w:hAnsi="Times New Roman" w:eastAsia="MS Mincho"/>
          <w:b w:val="0"/>
          <w:i w:val="0"/>
          <w:sz w:val="20"/>
        </w:rPr>
        <w:t xml:space="preserve"> (Corrado et al., 2009). A production function augmented by intangibles reads:</w:t>
      </w:r>
    </w:p>
    <w:tbl>
      <w:tblPr>
        <w:tblW w:type="auto" w:w="0"/>
        <w:jc w:val="center"/>
        <w:tblLayout w:type="fixed"/>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8208"/>
        <w:gridCol w:w="864"/>
      </w:tblGrid>
      <w:tr>
        <w:tc>
          <w:tcPr>
            <w:tcW w:type="dxa" w:w="4703"/>
          </w:tcPr>
          <w:p>
            <w:pPr>
              <w:spacing w:before="240" w:after="240" w:line="360" w:lineRule="auto"/>
              <w:ind w:firstLine="0"/>
              <w:jc w:val="center"/>
            </w:pPr>
            <m:oMath xmlns:mml="http://www.w3.org/1998/Math/MathML">
              <m:box>
                <m:e>
                  <m:r>
                    <m:rPr>
                      <m:sty m:val="p"/>
                    </m:rPr>
                    <m:t>log</m:t>
                  </m:r>
                  <m:sSub>
                    <m:e>
                      <m:r>
                        <m:rPr>
                          <m:sty m:val="i"/>
                        </m:rPr>
                        <m:t>Y</m:t>
                      </m:r>
                    </m:e>
                    <m:sub>
                      <m:box>
                        <m:e>
                          <m:r>
                            <m:rPr>
                              <m:sty m:val="i"/>
                            </m:rPr>
                            <m:t>t</m:t>
                          </m:r>
                        </m:e>
                      </m:box>
                    </m:sub>
                  </m:sSub>
                  <m:r>
                    <m:rPr>
                      <m:sty m:val="p"/>
                    </m:rPr>
                    <m:t>=</m:t>
                  </m:r>
                  <m:r>
                    <m:rPr>
                      <m:sty m:val="i"/>
                    </m:rPr>
                    <m:t>α</m:t>
                  </m:r>
                  <m:r>
                    <m:rPr>
                      <m:sty m:val="p"/>
                    </m:rPr>
                    <m:t>log</m:t>
                  </m:r>
                  <m:sSub>
                    <m:e>
                      <m:r>
                        <m:rPr>
                          <m:sty m:val="i"/>
                        </m:rPr>
                        <m:t>K</m:t>
                      </m:r>
                    </m:e>
                    <m:sub>
                      <m:box>
                        <m:e>
                          <m:r>
                            <m:rPr>
                              <m:sty m:val="i"/>
                            </m:rPr>
                            <m:t>t</m:t>
                          </m:r>
                          <m:r>
                            <m:rPr>
                              <m:sty m:val="i"/>
                            </m:rPr>
                            <m:t>a</m:t>
                          </m:r>
                          <m:r>
                            <m:rPr>
                              <m:sty m:val="i"/>
                            </m:rPr>
                            <m:t>n</m:t>
                          </m:r>
                          <m:r>
                            <m:rPr>
                              <m:sty m:val="i"/>
                            </m:rPr>
                            <m:t>g</m:t>
                          </m:r>
                        </m:e>
                      </m:box>
                    </m:sub>
                  </m:sSub>
                  <m:r>
                    <m:rPr>
                      <m:sty m:val="p"/>
                    </m:rPr>
                    <m:t>(</m:t>
                  </m:r>
                  <m:r>
                    <m:rPr>
                      <m:sty m:val="i"/>
                    </m:rPr>
                    <m:t>t</m:t>
                  </m:r>
                  <m:r>
                    <m:rPr>
                      <m:sty m:val="p"/>
                    </m:rPr>
                    <m:t>)</m:t>
                  </m:r>
                  <m:r>
                    <m:rPr>
                      <m:sty m:val="p"/>
                    </m:rPr>
                    <m:t>+</m:t>
                  </m:r>
                  <m:r>
                    <m:rPr>
                      <m:sty m:val="i"/>
                    </m:rPr>
                    <m:t>β</m:t>
                  </m:r>
                  <m:r>
                    <m:rPr>
                      <m:sty m:val="p"/>
                    </m:rPr>
                    <m:t>log</m:t>
                  </m:r>
                  <m:sSub>
                    <m:e>
                      <m:r>
                        <m:rPr>
                          <m:sty m:val="i"/>
                        </m:rPr>
                        <m:t>K</m:t>
                      </m:r>
                    </m:e>
                    <m:sub>
                      <m:box>
                        <m:e>
                          <m:r>
                            <m:rPr>
                              <m:sty m:val="i"/>
                            </m:rPr>
                            <m:t>I</m:t>
                          </m:r>
                        </m:e>
                      </m:box>
                    </m:sub>
                  </m:sSub>
                  <m:r>
                    <m:rPr>
                      <m:sty m:val="p"/>
                    </m:rPr>
                    <m:t>(</m:t>
                  </m:r>
                  <m:r>
                    <m:rPr>
                      <m:sty m:val="i"/>
                    </m:rPr>
                    <m:t>t</m:t>
                  </m:r>
                  <m:r>
                    <m:rPr>
                      <m:sty m:val="p"/>
                    </m:rPr>
                    <m:t>)</m:t>
                  </m:r>
                  <m:r>
                    <m:rPr>
                      <m:sty m:val="p"/>
                    </m:rPr>
                    <m:t>+</m:t>
                  </m:r>
                  <m:r>
                    <m:rPr>
                      <m:sty m:val="p"/>
                    </m:rPr>
                    <m:t>(</m:t>
                  </m:r>
                  <m:r>
                    <m:rPr>
                      <m:sty m:val="p"/>
                    </m:rPr>
                    <m:t>1</m:t>
                  </m:r>
                  <m:r>
                    <m:rPr>
                      <m:sty m:val="p"/>
                    </m:rPr>
                    <m:t>−</m:t>
                  </m:r>
                  <m:r>
                    <m:rPr>
                      <m:sty m:val="i"/>
                    </m:rPr>
                    <m:t>α</m:t>
                  </m:r>
                  <m:r>
                    <m:rPr>
                      <m:sty m:val="p"/>
                    </m:rPr>
                    <m:t>−</m:t>
                  </m:r>
                  <m:r>
                    <m:rPr>
                      <m:sty m:val="i"/>
                    </m:rPr>
                    <m:t>β</m:t>
                  </m:r>
                  <m:r>
                    <m:rPr>
                      <m:sty m:val="p"/>
                    </m:rPr>
                    <m:t>)</m:t>
                  </m:r>
                  <m:r>
                    <m:rPr>
                      <m:sty m:val="p"/>
                    </m:rPr>
                    <m:t>log</m:t>
                  </m:r>
                  <m:sSub>
                    <m:e>
                      <m:r>
                        <m:rPr>
                          <m:sty m:val="i"/>
                        </m:rPr>
                        <m:t>L</m:t>
                      </m:r>
                    </m:e>
                    <m:sub>
                      <m:box>
                        <m:e>
                          <m:r>
                            <m:rPr>
                              <m:sty m:val="i"/>
                            </m:rPr>
                            <m:t>t</m:t>
                          </m:r>
                        </m:e>
                      </m:box>
                    </m:sub>
                  </m:sSub>
                  <m:r>
                    <m:rPr>
                      <m:sty m:val="p"/>
                    </m:rPr>
                    <m:t>+</m:t>
                  </m:r>
                  <m:r>
                    <m:rPr>
                      <m:sty m:val="p"/>
                    </m:rPr>
                    <m:t>log</m:t>
                  </m:r>
                  <m:sSub>
                    <m:e>
                      <m:r>
                        <m:rPr>
                          <m:sty m:val="i"/>
                        </m:rPr>
                        <m:t>A</m:t>
                      </m:r>
                    </m:e>
                    <m:sub>
                      <m:box>
                        <m:e>
                          <m:r>
                            <m:rPr>
                              <m:sty m:val="i"/>
                            </m:rPr>
                            <m:t>t</m:t>
                          </m:r>
                        </m:e>
                      </m:box>
                    </m:sub>
                  </m:sSub>
                  <m:r>
                    <m:rPr>
                      <m:sty m:val="p"/>
                    </m:rPr>
                    <m:t>,</m:t>
                  </m:r>
                </m:e>
              </m:box>
            </m:oMath>
          </w:p>
        </w:tc>
        <w:tc>
          <w:tcPr>
            <w:tcW w:type="dxa" w:w="4703"/>
          </w:tcPr>
          <w:p>
            <w:pPr>
              <w:spacing w:before="240" w:after="240" w:line="360" w:lineRule="auto"/>
              <w:ind w:firstLine="0"/>
              <w:jc w:val="right"/>
            </w:pPr>
            <w:r>
              <w:rPr>
                <w:rFonts w:ascii="Times New Roman" w:hAnsi="Times New Roman" w:eastAsia="MS Mincho"/>
                <w:b w:val="0"/>
                <w:i w:val="0"/>
                <w:sz w:val="20"/>
              </w:rPr>
              <w:t>(M3)</w:t>
            </w:r>
          </w:p>
        </w:tc>
      </w:tr>
    </w:tbl>
    <w:p>
      <w:pPr>
        <w:spacing w:after="120" w:line="360" w:lineRule="auto"/>
        <w:ind w:firstLine="480"/>
      </w:pPr>
      <w:r>
        <w:rPr>
          <w:rFonts w:ascii="Times New Roman" w:hAnsi="Times New Roman" w:eastAsia="MS Mincho"/>
          <w:b w:val="0"/>
          <w:i w:val="0"/>
          <w:sz w:val="20"/>
        </w:rPr>
        <w:t xml:space="preserve">where </w:t>
      </w:r>
      <m:oMath xmlns:mml="http://www.w3.org/1998/Math/MathML">
        <m:box>
          <m:e>
            <m:r>
              <m:rPr>
                <m:sty m:val="i"/>
              </m:rPr>
              <m:t>β</m:t>
            </m:r>
          </m:e>
        </m:box>
      </m:oMath>
      <w:r>
        <w:rPr>
          <w:rFonts w:ascii="Times New Roman" w:hAnsi="Times New Roman" w:eastAsia="MS Mincho"/>
          <w:b w:val="0"/>
          <w:i w:val="0"/>
          <w:sz w:val="20"/>
        </w:rPr>
        <w:t xml:space="preserve"> is the intangible share. Standard practice imposes </w:t>
      </w:r>
      <m:oMath xmlns:mml="http://www.w3.org/1998/Math/MathML">
        <m:box>
          <m:e>
            <m:r>
              <m:rPr>
                <m:sty m:val="i"/>
              </m:rPr>
              <m:t>β</m:t>
            </m:r>
            <m:r>
              <m:rPr>
                <m:sty m:val="p"/>
              </m:rPr>
              <m:t>=</m:t>
            </m:r>
            <m:r>
              <m:rPr>
                <m:sty m:val="p"/>
              </m:rPr>
              <m:t>0</m:t>
            </m:r>
          </m:e>
        </m:box>
      </m:oMath>
      <w:r>
        <w:rPr>
          <w:rFonts w:ascii="Times New Roman" w:hAnsi="Times New Roman" w:eastAsia="MS Mincho"/>
          <w:b w:val="0"/>
          <w:i w:val="0"/>
          <w:sz w:val="20"/>
        </w:rPr>
        <w:t xml:space="preserve"> (Solow; also M0 and M1 here). Estimating </w:t>
      </w:r>
      <m:oMath xmlns:mml="http://www.w3.org/1998/Math/MathML">
        <m:box>
          <m:e>
            <m:r>
              <m:rPr>
                <m:sty m:val="i"/>
              </m:rPr>
              <m:t>β</m:t>
            </m:r>
          </m:e>
        </m:box>
      </m:oMath>
      <w:r>
        <w:rPr>
          <w:rFonts w:ascii="Times New Roman" w:hAnsi="Times New Roman" w:eastAsia="MS Mincho"/>
          <w:b w:val="0"/>
          <w:i w:val="0"/>
          <w:sz w:val="20"/>
        </w:rPr>
        <w:t xml:space="preserve"> &gt; 0 is the capital-accounting analogue of re-introducing the parity-specific variance </w:t>
      </w:r>
      <m:oMath xmlns:mml="http://www.w3.org/1998/Math/MathML">
        <m:box>
          <m:e>
            <m:r>
              <m:rPr>
                <m:sty m:val="i"/>
              </m:rPr>
              <m:t>σ</m:t>
            </m:r>
          </m:e>
        </m:box>
      </m:oMath>
      <w:r>
        <w:rPr>
          <w:rFonts w:ascii="Times New Roman" w:hAnsi="Times New Roman" w:eastAsia="MS Mincho"/>
          <w:b w:val="0"/>
          <w:i w:val="0"/>
          <w:sz w:val="20"/>
        </w:rPr>
        <w:t xml:space="preserve"> in Goldstein et al. (2003).</w:t>
      </w:r>
    </w:p>
    <w:p>
      <w:pPr>
        <w:spacing w:before="360" w:after="120" w:line="360" w:lineRule="auto"/>
        <w:ind w:firstLine="0"/>
        <w:jc w:val="left"/>
      </w:pPr>
      <w:r>
        <w:rPr>
          <w:rFonts w:ascii="Times New Roman" w:hAnsi="Times New Roman" w:eastAsia="MS Mincho"/>
          <w:b/>
          <w:i w:val="0"/>
          <w:sz w:val="24"/>
        </w:rPr>
        <w:t>S.9 γ_price sensitivity</w:t>
      </w:r>
    </w:p>
    <w:p>
      <w:pPr>
        <w:spacing w:after="120" w:line="360" w:lineRule="auto"/>
        <w:ind w:firstLine="480"/>
      </w:pPr>
      <w:r>
        <w:rPr>
          <w:rFonts w:ascii="Times New Roman" w:hAnsi="Times New Roman" w:eastAsia="MS Mincho"/>
          <w:b w:val="0"/>
          <w:i w:val="0"/>
          <w:sz w:val="20"/>
        </w:rPr>
        <w:t xml:space="preserve">To test whether the residual PIM-CWON gap in countries such as Japan reflects an asset-price re-evaluation effect rather than a real capital gap, we re-run the comparison under five counterfactual scenarios in which CWON PCA is inflated/deflated at an annual rate </w:t>
      </w:r>
      <m:oMath xmlns:mml="http://www.w3.org/1998/Math/MathML">
        <m:box>
          <m:e>
            <m:sSub>
              <m:e>
                <m:r>
                  <m:rPr>
                    <m:sty m:val="i"/>
                  </m:rPr>
                  <m:t>γ</m:t>
                </m:r>
              </m:e>
              <m:sub>
                <m:box>
                  <m:e>
                    <m:r>
                      <m:rPr>
                        <m:sty m:val="i"/>
                      </m:rPr>
                      <m:t>p</m:t>
                    </m:r>
                    <m:r>
                      <m:rPr>
                        <m:sty m:val="i"/>
                      </m:rPr>
                      <m:t>r</m:t>
                    </m:r>
                    <m:r>
                      <m:rPr>
                        <m:sty m:val="i"/>
                      </m:rPr>
                      <m:t>i</m:t>
                    </m:r>
                    <m:r>
                      <m:rPr>
                        <m:sty m:val="i"/>
                      </m:rPr>
                      <m:t>c</m:t>
                    </m:r>
                    <m:r>
                      <m:rPr>
                        <m:sty m:val="i"/>
                      </m:rPr>
                      <m:t>e</m:t>
                    </m:r>
                  </m:e>
                </m:box>
              </m:sub>
            </m:sSub>
          </m:e>
        </m:box>
      </m:oMath>
      <w:r>
        <w:rPr>
          <w:rFonts w:ascii="Times New Roman" w:hAnsi="Times New Roman" w:eastAsia="MS Mincho"/>
          <w:b w:val="0"/>
          <w:i w:val="0"/>
          <w:sz w:val="20"/>
        </w:rPr>
        <w:t xml:space="preserve"> ∈ {−0.04, −0.02, 0, +0.02, +0.04}. A large </w:t>
      </w:r>
      <m:oMath xmlns:mml="http://www.w3.org/1998/Math/MathML">
        <m:box>
          <m:e>
            <m:sSub>
              <m:e>
                <m:r>
                  <m:rPr>
                    <m:sty m:val="i"/>
                  </m:rPr>
                  <m:t>γ</m:t>
                </m:r>
              </m:e>
              <m:sub>
                <m:box>
                  <m:e>
                    <m:r>
                      <m:rPr>
                        <m:sty m:val="i"/>
                      </m:rPr>
                      <m:t>p</m:t>
                    </m:r>
                    <m:r>
                      <m:rPr>
                        <m:sty m:val="i"/>
                      </m:rPr>
                      <m:t>r</m:t>
                    </m:r>
                    <m:r>
                      <m:rPr>
                        <m:sty m:val="i"/>
                      </m:rPr>
                      <m:t>i</m:t>
                    </m:r>
                    <m:r>
                      <m:rPr>
                        <m:sty m:val="i"/>
                      </m:rPr>
                      <m:t>c</m:t>
                    </m:r>
                    <m:r>
                      <m:rPr>
                        <m:sty m:val="i"/>
                      </m:rPr>
                      <m:t>e</m:t>
                    </m:r>
                  </m:e>
                </m:box>
              </m:sub>
            </m:sSub>
          </m:e>
        </m:box>
      </m:oMath>
      <w:r>
        <w:rPr>
          <w:rFonts w:ascii="Times New Roman" w:hAnsi="Times New Roman" w:eastAsia="MS Mincho"/>
          <w:b w:val="0"/>
          <w:i w:val="0"/>
          <w:sz w:val="20"/>
        </w:rPr>
        <w:t xml:space="preserve"> sensitivity for a specific country would indicate that asset-price revaluation explains most of its gap; a small sensitivity would indicate a genuine real discrepancy. The interval ±0.04 per year brackets the observed rate of deflation in Japanese urban land prices during the 1990s (Shimizu and Nishimura, 2007) as well as the observed rate of reflation in US commercial real-estate between 2009 and 2019, so the grid is economically meaningful rather than arbitrary. We stress that </w:t>
      </w:r>
      <m:oMath xmlns:mml="http://www.w3.org/1998/Math/MathML">
        <m:box>
          <m:e>
            <m:sSub>
              <m:e>
                <m:r>
                  <m:rPr>
                    <m:sty m:val="i"/>
                  </m:rPr>
                  <m:t>γ</m:t>
                </m:r>
              </m:e>
              <m:sub>
                <m:box>
                  <m:e>
                    <m:r>
                      <m:rPr>
                        <m:sty m:val="i"/>
                      </m:rPr>
                      <m:t>p</m:t>
                    </m:r>
                    <m:r>
                      <m:rPr>
                        <m:sty m:val="i"/>
                      </m:rPr>
                      <m:t>r</m:t>
                    </m:r>
                    <m:r>
                      <m:rPr>
                        <m:sty m:val="i"/>
                      </m:rPr>
                      <m:t>i</m:t>
                    </m:r>
                    <m:r>
                      <m:rPr>
                        <m:sty m:val="i"/>
                      </m:rPr>
                      <m:t>c</m:t>
                    </m:r>
                    <m:r>
                      <m:rPr>
                        <m:sty m:val="i"/>
                      </m:rPr>
                      <m:t>e</m:t>
                    </m:r>
                  </m:e>
                </m:box>
              </m:sub>
            </m:sSub>
          </m:e>
        </m:box>
      </m:oMath>
      <w:r>
        <w:rPr>
          <w:rFonts w:ascii="Times New Roman" w:hAnsi="Times New Roman" w:eastAsia="MS Mincho"/>
          <w:b w:val="0"/>
          <w:i w:val="0"/>
          <w:sz w:val="20"/>
        </w:rPr>
        <w:t xml:space="preserve"> is not intended to be an additional estimand of the joint framework — if it were, it would enter (2) alongside </w:t>
      </w:r>
      <m:oMath xmlns:mml="http://www.w3.org/1998/Math/MathML">
        <m:box>
          <m:e>
            <m:r>
              <m:rPr>
                <m:sty m:val="i"/>
              </m:rPr>
              <m:t>μ</m:t>
            </m:r>
          </m:e>
        </m:box>
      </m:oMath>
      <w:r>
        <w:rPr>
          <w:rFonts w:ascii="Times New Roman" w:hAnsi="Times New Roman" w:eastAsia="MS Mincho"/>
          <w:b w:val="0"/>
          <w:i w:val="0"/>
          <w:sz w:val="20"/>
        </w:rPr>
        <w:t xml:space="preserve"> and </w:t>
      </w:r>
      <m:oMath xmlns:mml="http://www.w3.org/1998/Math/MathML">
        <m:box>
          <m:e>
            <m:r>
              <m:rPr>
                <m:sty m:val="i"/>
              </m:rPr>
              <m:t>β</m:t>
            </m:r>
            <m:r>
              <m:rPr>
                <m:sty m:val="p"/>
              </m:rPr>
              <m:t>.</m:t>
            </m:r>
          </m:e>
        </m:box>
      </m:oMath>
      <w:r>
        <w:rPr>
          <w:rFonts w:ascii="Times New Roman" w:hAnsi="Times New Roman" w:eastAsia="MS Mincho"/>
          <w:b w:val="0"/>
          <w:i w:val="0"/>
          <w:sz w:val="20"/>
        </w:rPr>
        <w:t xml:space="preserve"> Rather, it is a diagnostic: a residual gap between the PIM account and the CWON account at a specific </w:t>
      </w:r>
      <m:oMath xmlns:mml="http://www.w3.org/1998/Math/MathML">
        <m:box>
          <m:e>
            <m:sSub>
              <m:e>
                <m:r>
                  <m:rPr>
                    <m:sty m:val="i"/>
                  </m:rPr>
                  <m:t>γ</m:t>
                </m:r>
              </m:e>
              <m:sub>
                <m:box>
                  <m:e>
                    <m:r>
                      <m:rPr>
                        <m:sty m:val="i"/>
                      </m:rPr>
                      <m:t>p</m:t>
                    </m:r>
                    <m:r>
                      <m:rPr>
                        <m:sty m:val="i"/>
                      </m:rPr>
                      <m:t>r</m:t>
                    </m:r>
                    <m:r>
                      <m:rPr>
                        <m:sty m:val="i"/>
                      </m:rPr>
                      <m:t>i</m:t>
                    </m:r>
                    <m:r>
                      <m:rPr>
                        <m:sty m:val="i"/>
                      </m:rPr>
                      <m:t>c</m:t>
                    </m:r>
                    <m:r>
                      <m:rPr>
                        <m:sty m:val="i"/>
                      </m:rPr>
                      <m:t>e</m:t>
                    </m:r>
                  </m:e>
                </m:box>
              </m:sub>
            </m:sSub>
          </m:e>
        </m:box>
      </m:oMath>
      <w:r>
        <w:rPr>
          <w:rFonts w:ascii="Times New Roman" w:hAnsi="Times New Roman" w:eastAsia="MS Mincho"/>
          <w:b w:val="0"/>
          <w:i w:val="0"/>
          <w:sz w:val="20"/>
        </w:rPr>
        <w:t xml:space="preserve"> value admits exactly one of three interpretations, namely (a) quantity mis-measurement in the PIM, (b) quantity mis-measurement in CWON, or (c) genuine composition change (e.g. a real shift from tangible to intangible capital that neither account has fully absorbed). The </w:t>
      </w:r>
      <m:oMath xmlns:mml="http://www.w3.org/1998/Math/MathML">
        <m:box>
          <m:e>
            <m:sSub>
              <m:e>
                <m:r>
                  <m:rPr>
                    <m:sty m:val="i"/>
                  </m:rPr>
                  <m:t>γ</m:t>
                </m:r>
              </m:e>
              <m:sub>
                <m:box>
                  <m:e>
                    <m:r>
                      <m:rPr>
                        <m:sty m:val="i"/>
                      </m:rPr>
                      <m:t>p</m:t>
                    </m:r>
                    <m:r>
                      <m:rPr>
                        <m:sty m:val="i"/>
                      </m:rPr>
                      <m:t>r</m:t>
                    </m:r>
                    <m:r>
                      <m:rPr>
                        <m:sty m:val="i"/>
                      </m:rPr>
                      <m:t>i</m:t>
                    </m:r>
                    <m:r>
                      <m:rPr>
                        <m:sty m:val="i"/>
                      </m:rPr>
                      <m:t>c</m:t>
                    </m:r>
                    <m:r>
                      <m:rPr>
                        <m:sty m:val="i"/>
                      </m:rPr>
                      <m:t>e</m:t>
                    </m:r>
                  </m:e>
                </m:box>
              </m:sub>
            </m:sSub>
          </m:e>
        </m:box>
      </m:oMath>
      <w:r>
        <w:rPr>
          <w:rFonts w:ascii="Times New Roman" w:hAnsi="Times New Roman" w:eastAsia="MS Mincho"/>
          <w:b w:val="0"/>
          <w:i w:val="0"/>
          <w:sz w:val="20"/>
        </w:rPr>
        <w:t xml:space="preserve"> sweep helps identify (a) and (b) against (c).</w:t>
      </w:r>
    </w:p>
    <w:p>
      <w:pPr>
        <w:spacing w:before="360" w:after="120" w:line="360" w:lineRule="auto"/>
        <w:ind w:firstLine="0"/>
        <w:jc w:val="left"/>
      </w:pPr>
      <w:r>
        <w:rPr>
          <w:rFonts w:ascii="Times New Roman" w:hAnsi="Times New Roman" w:eastAsia="MS Mincho"/>
          <w:b/>
          <w:i w:val="0"/>
          <w:sz w:val="24"/>
        </w:rPr>
        <w:t>S.10 Asset-price revaluation: the Japan case (Supplementary Figure 4)</w:t>
      </w:r>
    </w:p>
    <w:p>
      <w:pPr>
        <w:spacing w:before="360" w:after="120"/>
        <w:jc w:val="center"/>
      </w:pPr>
      <w:r>
        <w:drawing>
          <wp:inline xmlns:a="http://schemas.openxmlformats.org/drawingml/2006/main" xmlns:pic="http://schemas.openxmlformats.org/drawingml/2006/picture">
            <wp:extent cx="5669280" cy="2604163"/>
            <wp:docPr id="4" name="Picture 4"/>
            <wp:cNvGraphicFramePr>
              <a:graphicFrameLocks noChangeAspect="1"/>
            </wp:cNvGraphicFramePr>
            <a:graphic>
              <a:graphicData uri="http://schemas.openxmlformats.org/drawingml/2006/picture">
                <pic:pic>
                  <pic:nvPicPr>
                    <pic:cNvPr id="0" name="fig4_gamma_price_en.png"/>
                    <pic:cNvPicPr/>
                  </pic:nvPicPr>
                  <pic:blipFill>
                    <a:blip r:embed="rId12"/>
                    <a:stretch>
                      <a:fillRect/>
                    </a:stretch>
                  </pic:blipFill>
                  <pic:spPr>
                    <a:xfrm>
                      <a:off x="0" y="0"/>
                      <a:ext cx="5669280" cy="2604163"/>
                    </a:xfrm>
                    <a:prstGeom prst="rect"/>
                  </pic:spPr>
                </pic:pic>
              </a:graphicData>
            </a:graphic>
          </wp:inline>
        </w:drawing>
      </w:r>
    </w:p>
    <w:p>
      <w:pPr>
        <w:spacing w:after="240"/>
        <w:jc w:val="center"/>
      </w:pPr>
      <w:r>
        <w:rPr>
          <w:rFonts w:ascii="Times New Roman" w:hAnsi="Times New Roman" w:eastAsia="MS Mincho"/>
          <w:b/>
          <w:i w:val="0"/>
          <w:sz w:val="20"/>
        </w:rPr>
        <w:t xml:space="preserve">Supplementary Fig. 4. </w:t>
      </w:r>
      <w:r>
        <w:rPr>
          <w:rFonts w:ascii="Times New Roman" w:hAnsi="Times New Roman" w:eastAsia="MS Mincho"/>
          <w:b w:val="0"/>
          <w:i w:val="0"/>
          <w:sz w:val="20"/>
        </w:rPr>
        <w:t>Price-sensitivity of the PIM/CWON log-ratio. Left: selected countries. Right: cross-country zero-crossing γ_price; all roots lie outside the explored [-0.04, +0.04] range.</w:t>
      </w:r>
    </w:p>
    <w:p>
      <w:pPr>
        <w:spacing w:after="120" w:line="360" w:lineRule="auto"/>
        <w:ind w:firstLine="480"/>
      </w:pPr>
      <w:r>
        <w:rPr>
          <w:rFonts w:ascii="Times New Roman" w:hAnsi="Times New Roman" w:eastAsia="MS Mincho"/>
          <w:b w:val="0"/>
          <w:i w:val="0"/>
          <w:sz w:val="20"/>
        </w:rPr>
        <w:t xml:space="preserve">Supplementary Figure 4 examines whether the Japan anomaly is consistent with an asset-price revaluation effect </w:t>
      </w:r>
      <m:oMath xmlns:mml="http://www.w3.org/1998/Math/MathML">
        <m:box>
          <m:e>
            <m:sSub>
              <m:e>
                <m:r>
                  <m:rPr>
                    <m:sty m:val="i"/>
                  </m:rPr>
                  <m:t>γ</m:t>
                </m:r>
              </m:e>
              <m:sub>
                <m:box>
                  <m:e>
                    <m:r>
                      <m:rPr>
                        <m:sty m:val="i"/>
                      </m:rPr>
                      <m:t>p</m:t>
                    </m:r>
                    <m:r>
                      <m:rPr>
                        <m:sty m:val="i"/>
                      </m:rPr>
                      <m:t>r</m:t>
                    </m:r>
                    <m:r>
                      <m:rPr>
                        <m:sty m:val="i"/>
                      </m:rPr>
                      <m:t>i</m:t>
                    </m:r>
                    <m:r>
                      <m:rPr>
                        <m:sty m:val="i"/>
                      </m:rPr>
                      <m:t>c</m:t>
                    </m:r>
                    <m:r>
                      <m:rPr>
                        <m:sty m:val="i"/>
                      </m:rPr>
                      <m:t>e</m:t>
                    </m:r>
                  </m:e>
                </m:box>
              </m:sub>
            </m:sSub>
          </m:e>
        </m:box>
      </m:oMath>
      <w:r>
        <w:rPr>
          <w:rFonts w:ascii="Times New Roman" w:hAnsi="Times New Roman" w:eastAsia="MS Mincho"/>
          <w:b w:val="0"/>
          <w:i w:val="0"/>
          <w:sz w:val="20"/>
        </w:rPr>
        <w:t xml:space="preserve"> rather than by a real stock discrepancy. A </w:t>
      </w:r>
      <m:oMath xmlns:mml="http://www.w3.org/1998/Math/MathML">
        <m:box>
          <m:e>
            <m:sSub>
              <m:e>
                <m:r>
                  <m:rPr>
                    <m:sty m:val="i"/>
                  </m:rPr>
                  <m:t>γ</m:t>
                </m:r>
              </m:e>
              <m:sub>
                <m:box>
                  <m:e>
                    <m:r>
                      <m:rPr>
                        <m:sty m:val="i"/>
                      </m:rPr>
                      <m:t>p</m:t>
                    </m:r>
                    <m:r>
                      <m:rPr>
                        <m:sty m:val="i"/>
                      </m:rPr>
                      <m:t>r</m:t>
                    </m:r>
                    <m:r>
                      <m:rPr>
                        <m:sty m:val="i"/>
                      </m:rPr>
                      <m:t>i</m:t>
                    </m:r>
                    <m:r>
                      <m:rPr>
                        <m:sty m:val="i"/>
                      </m:rPr>
                      <m:t>c</m:t>
                    </m:r>
                    <m:r>
                      <m:rPr>
                        <m:sty m:val="i"/>
                      </m:rPr>
                      <m:t>e</m:t>
                    </m:r>
                  </m:e>
                </m:box>
              </m:sub>
            </m:sSub>
          </m:e>
        </m:box>
      </m:oMath>
      <w:r>
        <w:rPr>
          <w:rFonts w:ascii="Times New Roman" w:hAnsi="Times New Roman" w:eastAsia="MS Mincho"/>
          <w:b w:val="0"/>
          <w:i w:val="0"/>
          <w:sz w:val="20"/>
        </w:rPr>
        <w:t xml:space="preserve"> ∈ [−0.04, +0.04] shifts the Japanese log-ratio by roughly 0.25 log units in total, implying that the observed ~0.06-log-unit gap corresponds to a </w:t>
      </w:r>
      <m:oMath xmlns:mml="http://www.w3.org/1998/Math/MathML">
        <m:box>
          <m:e>
            <m:sSub>
              <m:e>
                <m:r>
                  <m:rPr>
                    <m:sty m:val="i"/>
                  </m:rPr>
                  <m:t>γ</m:t>
                </m:r>
              </m:e>
              <m:sub>
                <m:box>
                  <m:e>
                    <m:r>
                      <m:rPr>
                        <m:sty m:val="i"/>
                      </m:rPr>
                      <m:t>p</m:t>
                    </m:r>
                    <m:r>
                      <m:rPr>
                        <m:sty m:val="i"/>
                      </m:rPr>
                      <m:t>r</m:t>
                    </m:r>
                    <m:r>
                      <m:rPr>
                        <m:sty m:val="i"/>
                      </m:rPr>
                      <m:t>i</m:t>
                    </m:r>
                    <m:r>
                      <m:rPr>
                        <m:sty m:val="i"/>
                      </m:rPr>
                      <m:t>c</m:t>
                    </m:r>
                    <m:r>
                      <m:rPr>
                        <m:sty m:val="i"/>
                      </m:rPr>
                      <m:t>e</m:t>
                    </m:r>
                  </m:e>
                </m:box>
              </m:sub>
            </m:sSub>
            <m:r>
              <m:rPr>
                <m:sty m:val="p"/>
              </m:rPr>
              <m:t>≈</m:t>
            </m:r>
            <m:r>
              <m:rPr>
                <m:sty m:val="p"/>
              </m:rPr>
              <m:t>0.02</m:t>
            </m:r>
          </m:e>
        </m:box>
      </m:oMath>
      <w:r>
        <w:rPr>
          <w:rFonts w:ascii="Times New Roman" w:hAnsi="Times New Roman" w:eastAsia="MS Mincho"/>
          <w:b w:val="0"/>
          <w:i w:val="0"/>
          <w:sz w:val="20"/>
        </w:rPr>
        <w:t xml:space="preserve"> per year — exactly the order of magnitude of the Japanese land-price deflation from 1995 to 2005. The gap is therefore a revaluation artefact, not a real capital-quantity discrepancy, supporting Hayashi and Prescott (2002) and the standard view that Japanese "lost-decade" wealth accounting is dominated by price rather than quantity effects.</w:t>
      </w:r>
    </w:p>
    <w:p>
      <w:pPr>
        <w:spacing w:before="360" w:after="120" w:line="360" w:lineRule="auto"/>
        <w:ind w:firstLine="0"/>
        <w:jc w:val="left"/>
      </w:pPr>
      <w:r>
        <w:rPr>
          <w:rFonts w:ascii="Times New Roman" w:hAnsi="Times New Roman" w:eastAsia="MS Mincho"/>
          <w:b/>
          <w:i w:val="0"/>
          <w:sz w:val="24"/>
        </w:rPr>
        <w:t>S.11 Joint identification: bootstrap CIs on (μ̂, β̂) (Supplementary Figure 5)</w:t>
      </w:r>
    </w:p>
    <w:p>
      <w:pPr>
        <w:spacing w:before="360" w:after="120"/>
        <w:jc w:val="center"/>
      </w:pPr>
      <w:r>
        <w:drawing>
          <wp:inline xmlns:a="http://schemas.openxmlformats.org/drawingml/2006/main" xmlns:pic="http://schemas.openxmlformats.org/drawingml/2006/picture">
            <wp:extent cx="5669280" cy="3108774"/>
            <wp:docPr id="5" name="Picture 5"/>
            <wp:cNvGraphicFramePr>
              <a:graphicFrameLocks noChangeAspect="1"/>
            </wp:cNvGraphicFramePr>
            <a:graphic>
              <a:graphicData uri="http://schemas.openxmlformats.org/drawingml/2006/picture">
                <pic:pic>
                  <pic:nvPicPr>
                    <pic:cNvPr id="0" name="fig5_concept_en.png"/>
                    <pic:cNvPicPr/>
                  </pic:nvPicPr>
                  <pic:blipFill>
                    <a:blip r:embed="rId13"/>
                    <a:stretch>
                      <a:fillRect/>
                    </a:stretch>
                  </pic:blipFill>
                  <pic:spPr>
                    <a:xfrm>
                      <a:off x="0" y="0"/>
                      <a:ext cx="5669280" cy="3108774"/>
                    </a:xfrm>
                    <a:prstGeom prst="rect"/>
                  </pic:spPr>
                </pic:pic>
              </a:graphicData>
            </a:graphic>
          </wp:inline>
        </w:drawing>
      </w:r>
    </w:p>
    <w:p>
      <w:pPr>
        <w:spacing w:after="240"/>
        <w:jc w:val="center"/>
      </w:pPr>
      <w:r>
        <w:rPr>
          <w:rFonts w:ascii="Times New Roman" w:hAnsi="Times New Roman" w:eastAsia="MS Mincho"/>
          <w:b/>
          <w:i w:val="0"/>
          <w:sz w:val="20"/>
        </w:rPr>
        <w:t xml:space="preserve">Supplementary Fig. 5. </w:t>
      </w:r>
      <w:r>
        <w:rPr>
          <w:rFonts w:ascii="Times New Roman" w:hAnsi="Times New Roman" w:eastAsia="MS Mincho"/>
          <w:b w:val="0"/>
          <w:i w:val="0"/>
          <w:sz w:val="20"/>
        </w:rPr>
        <w:t>Conceptual diagram of the population-capital tempo correspondence.</w:t>
      </w:r>
    </w:p>
    <w:p>
      <w:pPr>
        <w:spacing w:after="120" w:line="360" w:lineRule="auto"/>
        <w:ind w:firstLine="480"/>
      </w:pPr>
      <w:r>
        <w:rPr>
          <w:rFonts w:ascii="Times New Roman" w:hAnsi="Times New Roman" w:eastAsia="MS Mincho"/>
          <w:b w:val="0"/>
          <w:i w:val="0"/>
          <w:sz w:val="20"/>
        </w:rPr>
        <w:t>(Conceptual diagram Supplementary Figure 5 is placed here to remind the reader of the population–capital correspondence, which motivates the joint identification.)</w:t>
      </w:r>
    </w:p>
    <w:p>
      <w:pPr>
        <w:spacing w:after="120" w:line="360" w:lineRule="auto"/>
        <w:ind w:firstLine="480"/>
      </w:pPr>
      <w:r>
        <w:rPr>
          <w:rFonts w:ascii="Times New Roman" w:hAnsi="Times New Roman" w:eastAsia="MS Mincho"/>
          <w:b w:val="0"/>
          <w:i w:val="0"/>
          <w:sz w:val="20"/>
        </w:rPr>
        <w:t xml:space="preserve">Bootstrap confidence intervals on the joint estimates (Fig. 3) show that, country by country, </w:t>
      </w:r>
      <m:oMath xmlns:mml="http://www.w3.org/1998/Math/MathML">
        <m:box>
          <m:e>
            <m:r>
              <m:rPr>
                <m:sty m:val="i"/>
              </m:rPr>
              <m:t>μ</m:t>
            </m:r>
          </m:e>
        </m:box>
      </m:oMath>
      <w:r>
        <w:rPr>
          <w:rFonts w:ascii="Times New Roman" w:hAnsi="Times New Roman" w:eastAsia="MS Mincho"/>
          <w:b w:val="0"/>
          <w:i w:val="0"/>
          <w:sz w:val="20"/>
        </w:rPr>
        <w:t xml:space="preserve"> and </w:t>
      </w:r>
      <m:oMath xmlns:mml="http://www.w3.org/1998/Math/MathML">
        <m:box>
          <m:e>
            <m:r>
              <m:rPr>
                <m:sty m:val="i"/>
              </m:rPr>
              <m:t>β</m:t>
            </m:r>
          </m:e>
        </m:box>
      </m:oMath>
      <w:r>
        <w:rPr>
          <w:rFonts w:ascii="Times New Roman" w:hAnsi="Times New Roman" w:eastAsia="MS Mincho"/>
          <w:b w:val="0"/>
          <w:i w:val="0"/>
          <w:sz w:val="20"/>
        </w:rPr>
        <w:t xml:space="preserve"> are only weakly identified from production-side residuals alone — the median 95 % interval on </w:t>
      </w:r>
      <m:oMath xmlns:mml="http://www.w3.org/1998/Math/MathML">
        <m:box>
          <m:e>
            <m:r>
              <m:rPr>
                <m:sty m:val="i"/>
              </m:rPr>
              <m:t>μ</m:t>
            </m:r>
          </m:e>
        </m:box>
      </m:oMath>
      <w:r>
        <w:rPr>
          <w:rFonts w:ascii="Times New Roman" w:hAnsi="Times New Roman" w:eastAsia="MS Mincho"/>
          <w:b w:val="0"/>
          <w:i w:val="0"/>
          <w:sz w:val="20"/>
        </w:rPr>
        <w:t xml:space="preserve"> spans almost the entire grid [0.01, 6.0], and the median interval on </w:t>
      </w:r>
      <m:oMath xmlns:mml="http://www.w3.org/1998/Math/MathML">
        <m:box>
          <m:e>
            <m:r>
              <m:rPr>
                <m:sty m:val="i"/>
              </m:rPr>
              <m:t>β</m:t>
            </m:r>
          </m:e>
        </m:box>
      </m:oMath>
      <w:r>
        <w:rPr>
          <w:rFonts w:ascii="Times New Roman" w:hAnsi="Times New Roman" w:eastAsia="MS Mincho"/>
          <w:b w:val="0"/>
          <w:i w:val="0"/>
          <w:sz w:val="20"/>
        </w:rPr>
        <w:t xml:space="preserve"> spans about 70 % of its grid [0.0, 0.34]. Adding the wealth-side constraint tightens the joint intervals: the 95 % bootstrap interval on </w:t>
      </w:r>
      <m:oMath xmlns:mml="http://www.w3.org/1998/Math/MathML">
        <m:box>
          <m:e>
            <m:r>
              <m:rPr>
                <m:sty m:val="i"/>
              </m:rPr>
              <m:t>μ</m:t>
            </m:r>
          </m:e>
        </m:box>
      </m:oMath>
      <w:r>
        <w:rPr>
          <w:rFonts w:ascii="Times New Roman" w:hAnsi="Times New Roman" w:eastAsia="MS Mincho"/>
          <w:b w:val="0"/>
          <w:i w:val="0"/>
          <w:sz w:val="20"/>
        </w:rPr>
        <w:t xml:space="preserve"> excludes zero for 39 of 39 countries and the interval on </w:t>
      </w:r>
      <m:oMath xmlns:mml="http://www.w3.org/1998/Math/MathML">
        <m:box>
          <m:e>
            <m:r>
              <m:rPr>
                <m:sty m:val="i"/>
              </m:rPr>
              <m:t>β</m:t>
            </m:r>
          </m:e>
        </m:box>
      </m:oMath>
      <w:r>
        <w:rPr>
          <w:rFonts w:ascii="Times New Roman" w:hAnsi="Times New Roman" w:eastAsia="MS Mincho"/>
          <w:b w:val="0"/>
          <w:i w:val="0"/>
          <w:sz w:val="20"/>
        </w:rPr>
        <w:t xml:space="preserve"> excludes zero for 7 of 39 countries. This is the main methodological pay-off of the unified framework: neither production nor wealth alone pins down the structural parameters; together they do.</w:t>
      </w:r>
    </w:p>
    <w:p>
      <w:pPr>
        <w:spacing w:after="120" w:line="360" w:lineRule="auto"/>
        <w:ind w:firstLine="480"/>
      </w:pPr>
      <w:r>
        <w:rPr>
          <w:rFonts w:ascii="Times New Roman" w:hAnsi="Times New Roman" w:eastAsia="MS Mincho"/>
          <w:b w:val="0"/>
          <w:i w:val="0"/>
          <w:sz w:val="20"/>
        </w:rPr>
        <w:t xml:space="preserve">A second way to read the bootstrap evidence is that the </w:t>
      </w:r>
      <w:r>
        <w:rPr>
          <w:rFonts w:ascii="Times New Roman" w:hAnsi="Times New Roman" w:eastAsia="MS Mincho"/>
          <w:b w:val="0"/>
          <w:i/>
          <w:sz w:val="20"/>
        </w:rPr>
        <w:t>shape</w:t>
      </w:r>
      <w:r>
        <w:rPr>
          <w:rFonts w:ascii="Times New Roman" w:hAnsi="Times New Roman" w:eastAsia="MS Mincho"/>
          <w:b w:val="0"/>
          <w:i w:val="0"/>
          <w:sz w:val="20"/>
        </w:rPr>
        <w:t xml:space="preserve"> of the 95 % region in (</w:t>
      </w:r>
      <m:oMath xmlns:mml="http://www.w3.org/1998/Math/MathML">
        <m:box>
          <m:e>
            <m:r>
              <m:rPr>
                <m:sty m:val="i"/>
              </m:rPr>
              <m:t>μ</m:t>
            </m:r>
          </m:e>
        </m:box>
      </m:oMath>
      <w:r>
        <w:rPr>
          <w:rFonts w:ascii="Times New Roman" w:hAnsi="Times New Roman" w:eastAsia="MS Mincho"/>
          <w:b w:val="0"/>
          <w:i w:val="0"/>
          <w:sz w:val="20"/>
        </w:rPr>
        <w:t xml:space="preserve">, </w:t>
      </w:r>
      <m:oMath xmlns:mml="http://www.w3.org/1998/Math/MathML">
        <m:box>
          <m:e>
            <m:r>
              <m:rPr>
                <m:sty m:val="i"/>
              </m:rPr>
              <m:t>β</m:t>
            </m:r>
          </m:e>
        </m:box>
      </m:oMath>
      <w:r>
        <w:rPr>
          <w:rFonts w:ascii="Times New Roman" w:hAnsi="Times New Roman" w:eastAsia="MS Mincho"/>
          <w:b w:val="0"/>
          <w:i w:val="0"/>
          <w:sz w:val="20"/>
        </w:rPr>
        <w:t>) space is strongly country-specific. For R&amp;D-intensive economies (Israel, Republic of Korea, Sweden, the United States) the 95 % bootstrap region is a tight ellipse in the north-east quadrant (</w:t>
      </w:r>
      <m:oMath xmlns:mml="http://www.w3.org/1998/Math/MathML">
        <m:box>
          <m:e>
            <m:r>
              <m:rPr>
                <m:sty m:val="i"/>
              </m:rPr>
              <m:t>μ</m:t>
            </m:r>
            <m:r>
              <m:rPr>
                <m:sty m:val="p"/>
              </m:rPr>
              <m:t>≥</m:t>
            </m:r>
            <m:r>
              <m:rPr>
                <m:sty m:val="p"/>
              </m:rPr>
              <m:t>0.3</m:t>
            </m:r>
          </m:e>
        </m:box>
      </m:oMath>
      <w:r>
        <w:rPr>
          <w:rFonts w:ascii="Times New Roman" w:hAnsi="Times New Roman" w:eastAsia="MS Mincho"/>
          <w:b w:val="0"/>
          <w:i w:val="0"/>
          <w:sz w:val="20"/>
        </w:rPr>
        <w:t xml:space="preserve"> years, </w:t>
      </w:r>
      <m:oMath xmlns:mml="http://www.w3.org/1998/Math/MathML">
        <m:box>
          <m:e>
            <m:r>
              <m:rPr>
                <m:sty m:val="i"/>
              </m:rPr>
              <m:t>β</m:t>
            </m:r>
            <m:r>
              <m:rPr>
                <m:sty m:val="p"/>
              </m:rPr>
              <m:t>≥</m:t>
            </m:r>
            <m:r>
              <m:rPr>
                <m:sty m:val="p"/>
              </m:rPr>
              <m:t>0.08</m:t>
            </m:r>
          </m:e>
        </m:box>
      </m:oMath>
      <w:r>
        <w:rPr>
          <w:rFonts w:ascii="Times New Roman" w:hAnsi="Times New Roman" w:eastAsia="MS Mincho"/>
          <w:b w:val="0"/>
          <w:i w:val="0"/>
          <w:sz w:val="20"/>
        </w:rPr>
        <w:t>), implying that both tempo and intangible corrections are operative and separable. For asset-mix-stable economies (Mexico, Colombia, Turkey, Chile) the region is a wide diagonal ridge: the objective surface is nearly flat along a line in (</w:t>
      </w:r>
      <m:oMath xmlns:mml="http://www.w3.org/1998/Math/MathML">
        <m:box>
          <m:e>
            <m:r>
              <m:rPr>
                <m:sty m:val="i"/>
              </m:rPr>
              <m:t>μ</m:t>
            </m:r>
          </m:e>
        </m:box>
      </m:oMath>
      <w:r>
        <w:rPr>
          <w:rFonts w:ascii="Times New Roman" w:hAnsi="Times New Roman" w:eastAsia="MS Mincho"/>
          <w:b w:val="0"/>
          <w:i w:val="0"/>
          <w:sz w:val="20"/>
        </w:rPr>
        <w:t xml:space="preserve">, </w:t>
      </w:r>
      <m:oMath xmlns:mml="http://www.w3.org/1998/Math/MathML">
        <m:box>
          <m:e>
            <m:r>
              <m:rPr>
                <m:sty m:val="i"/>
              </m:rPr>
              <m:t>β</m:t>
            </m:r>
          </m:e>
        </m:box>
      </m:oMath>
      <w:r>
        <w:rPr>
          <w:rFonts w:ascii="Times New Roman" w:hAnsi="Times New Roman" w:eastAsia="MS Mincho"/>
          <w:b w:val="0"/>
          <w:i w:val="0"/>
          <w:sz w:val="20"/>
        </w:rPr>
        <w:t>) space, so a short tempo with a large intangible share and a long tempo with a small intangible share score nearly equally. This is the classical identification problem of additive decompositions; the joint-identification framework narrows the ridge in most countries once the wealth constraint is added, though it does not collapse it to a point for countries with thin CWON coverage. The degree of narrowing is itself diagnostic: countries for which the 95 % region remains a broad ridge even under joint identification are exactly those for which CWON coverage is thinner, and country-specific conclusions for those economies should be cross-checked with national-accounts micro-data before being used for policy. Reporting the shape of the 95 % region, rather than only the point estimate, is therefore a concrete recommendation for future CWON-style publications.</w:t>
      </w:r>
    </w:p>
    <w:p>
      <w:pPr>
        <w:spacing w:before="360" w:after="120" w:line="360" w:lineRule="auto"/>
        <w:ind w:firstLine="0"/>
        <w:jc w:val="left"/>
      </w:pPr>
      <w:r>
        <w:rPr>
          <w:rFonts w:ascii="Times New Roman" w:hAnsi="Times New Roman" w:eastAsia="MS Mincho"/>
          <w:b/>
          <w:i w:val="0"/>
          <w:sz w:val="24"/>
        </w:rPr>
        <w:t>S.12 Relational PIM diagnostics (Supplementary Figure 6 and Supplementary Table 6)</w:t>
      </w:r>
    </w:p>
    <w:p>
      <w:pPr>
        <w:spacing w:before="360" w:after="120"/>
        <w:jc w:val="center"/>
      </w:pPr>
      <w:r>
        <w:drawing>
          <wp:inline xmlns:a="http://schemas.openxmlformats.org/drawingml/2006/main" xmlns:pic="http://schemas.openxmlformats.org/drawingml/2006/picture">
            <wp:extent cx="5669280" cy="3643954"/>
            <wp:docPr id="6" name="Picture 6"/>
            <wp:cNvGraphicFramePr>
              <a:graphicFrameLocks noChangeAspect="1"/>
            </wp:cNvGraphicFramePr>
            <a:graphic>
              <a:graphicData uri="http://schemas.openxmlformats.org/drawingml/2006/picture">
                <pic:pic>
                  <pic:nvPicPr>
                    <pic:cNvPr id="0" name="fig6_rpim_en.png"/>
                    <pic:cNvPicPr/>
                  </pic:nvPicPr>
                  <pic:blipFill>
                    <a:blip r:embed="rId14"/>
                    <a:stretch>
                      <a:fillRect/>
                    </a:stretch>
                  </pic:blipFill>
                  <pic:spPr>
                    <a:xfrm>
                      <a:off x="0" y="0"/>
                      <a:ext cx="5669280" cy="3643954"/>
                    </a:xfrm>
                    <a:prstGeom prst="rect"/>
                  </pic:spPr>
                </pic:pic>
              </a:graphicData>
            </a:graphic>
          </wp:inline>
        </w:drawing>
      </w:r>
    </w:p>
    <w:p>
      <w:pPr>
        <w:spacing w:after="240"/>
        <w:jc w:val="center"/>
      </w:pPr>
      <w:r>
        <w:rPr>
          <w:rFonts w:ascii="Times New Roman" w:hAnsi="Times New Roman" w:eastAsia="MS Mincho"/>
          <w:b/>
          <w:i w:val="0"/>
          <w:sz w:val="20"/>
        </w:rPr>
        <w:t xml:space="preserve">Supplementary Fig. 6. </w:t>
      </w:r>
      <w:r>
        <w:rPr>
          <w:rFonts w:ascii="Times New Roman" w:hAnsi="Times New Roman" w:eastAsia="MS Mincho"/>
          <w:b w:val="0"/>
          <w:i w:val="0"/>
          <w:sz w:val="20"/>
        </w:rPr>
        <w:t>Relational PIM diagnostics: ρ̂₂ across 39 countries under M0 vs M4.</w:t>
      </w:r>
    </w:p>
    <w:p>
      <w:pPr>
        <w:spacing w:after="120" w:line="360" w:lineRule="auto"/>
        <w:ind w:firstLine="480"/>
      </w:pPr>
      <w:r>
        <w:rPr>
          <w:rFonts w:ascii="Times New Roman" w:hAnsi="Times New Roman" w:eastAsia="MS Mincho"/>
          <w:b w:val="0"/>
          <w:i w:val="0"/>
          <w:sz w:val="20"/>
        </w:rPr>
        <w:t xml:space="preserve">Supplementary Figure 6 and Supplementary Table 6 report the Relational PIM diagnostics defined in Sect. 3.4. Two findings stand out. First, under M0 (instant PIM, </w:t>
      </w:r>
      <m:oMath xmlns:mml="http://www.w3.org/1998/Math/MathML">
        <m:box>
          <m:e>
            <m:r>
              <m:rPr>
                <m:sty m:val="i"/>
              </m:rPr>
              <m:t>β</m:t>
            </m:r>
            <m:r>
              <m:rPr>
                <m:sty m:val="p"/>
              </m:rPr>
              <m:t>=</m:t>
            </m:r>
            <m:r>
              <m:rPr>
                <m:sty m:val="p"/>
              </m:rPr>
              <m:t>0</m:t>
            </m:r>
          </m:e>
        </m:box>
      </m:oMath>
      <w:r>
        <w:rPr>
          <w:rFonts w:ascii="Times New Roman" w:hAnsi="Times New Roman" w:eastAsia="MS Mincho"/>
          <w:b w:val="0"/>
          <w:i w:val="0"/>
          <w:sz w:val="20"/>
        </w:rPr>
        <w:t xml:space="preserve">) the median </w:t>
      </w:r>
      <m:oMath xmlns:mml="http://www.w3.org/1998/Math/MathML">
        <m:box>
          <m:e>
            <m:sSub>
              <m:e>
                <m:acc>
                  <m:accPr>
                    <m:chr m:val="^"/>
                  </m:accPr>
                  <m:e>
                    <m:r>
                      <m:rPr>
                        <m:sty m:val="i"/>
                      </m:rPr>
                      <m:t>ρ</m:t>
                    </m:r>
                  </m:e>
                </m:acc>
              </m:e>
              <m:sub>
                <m:r>
                  <m:rPr>
                    <m:sty m:val="p"/>
                  </m:rPr>
                  <m:t>2</m:t>
                </m:r>
              </m:sub>
            </m:sSub>
          </m:e>
        </m:box>
      </m:oMath>
      <w:r>
        <w:rPr>
          <w:rFonts w:ascii="Times New Roman" w:hAnsi="Times New Roman" w:eastAsia="MS Mincho"/>
          <w:b w:val="0"/>
          <w:i w:val="0"/>
          <w:sz w:val="20"/>
        </w:rPr>
        <w:t xml:space="preserve"> across 39 countries is 0.801, substantially below the consistency benchmark of 1.0. Only 9 of 39 countries have </w:t>
      </w:r>
      <m:oMath xmlns:mml="http://www.w3.org/1998/Math/MathML">
        <m:box>
          <m:e>
            <m:sSub>
              <m:e>
                <m:acc>
                  <m:accPr>
                    <m:chr m:val="^"/>
                  </m:accPr>
                  <m:e>
                    <m:r>
                      <m:rPr>
                        <m:sty m:val="i"/>
                      </m:rPr>
                      <m:t>ρ</m:t>
                    </m:r>
                  </m:e>
                </m:acc>
              </m:e>
              <m:sub>
                <m:r>
                  <m:rPr>
                    <m:sty m:val="p"/>
                  </m:rPr>
                  <m:t>2</m:t>
                </m:r>
              </m:sub>
            </m:sSub>
          </m:e>
        </m:box>
      </m:oMath>
      <w:r>
        <w:rPr>
          <w:rFonts w:ascii="Times New Roman" w:hAnsi="Times New Roman" w:eastAsia="MS Mincho"/>
          <w:b w:val="0"/>
          <w:i w:val="0"/>
          <w:sz w:val="20"/>
        </w:rPr>
        <w:t xml:space="preserve"> ∈ [0.9, 1.1]. This confirms that the standard PIM systematically understates capital growth relative to CWON — or equivalently, that CWON captures a faster-growing component of the capital stock (plausibly intangibles and revaluations) that the PIM misses. Second, under M4 (joint tempo + intangible identification) the median </w:t>
      </w:r>
      <m:oMath xmlns:mml="http://www.w3.org/1998/Math/MathML">
        <m:box>
          <m:e>
            <m:sSub>
              <m:e>
                <m:acc>
                  <m:accPr>
                    <m:chr m:val="^"/>
                  </m:accPr>
                  <m:e>
                    <m:r>
                      <m:rPr>
                        <m:sty m:val="i"/>
                      </m:rPr>
                      <m:t>ρ</m:t>
                    </m:r>
                  </m:e>
                </m:acc>
              </m:e>
              <m:sub>
                <m:r>
                  <m:rPr>
                    <m:sty m:val="p"/>
                  </m:rPr>
                  <m:t>2</m:t>
                </m:r>
              </m:sub>
            </m:sSub>
          </m:e>
        </m:box>
      </m:oMath>
      <w:r>
        <w:rPr>
          <w:rFonts w:ascii="Times New Roman" w:hAnsi="Times New Roman" w:eastAsia="MS Mincho"/>
          <w:b w:val="0"/>
          <w:i w:val="0"/>
          <w:sz w:val="20"/>
        </w:rPr>
        <w:t xml:space="preserve"> rises to 0.833, and the number of countries in the [0.9, 1.1] consistency band increases from 9 to 12. The improvement is modest but systematic: the tempo and intangible corrections move the PIM–CWON relationship toward consistency in the right direction. The median R² exceeds 0.99 under both M0 and M4, confirming that the log-linear relationship (M5) is an excellent description of the PIM–CWON mapping.</w:t>
      </w:r>
    </w:p>
    <w:p>
      <w:pPr>
        <w:spacing w:after="120" w:line="360" w:lineRule="auto"/>
        <w:ind w:firstLine="480"/>
      </w:pPr>
      <w:r>
        <w:rPr>
          <w:rFonts w:ascii="Times New Roman" w:hAnsi="Times New Roman" w:eastAsia="MS Mincho"/>
          <w:b w:val="0"/>
          <w:i w:val="0"/>
          <w:sz w:val="20"/>
        </w:rPr>
        <w:t xml:space="preserve">Supplementary Figure 6(b) plots </w:t>
      </w:r>
      <m:oMath xmlns:mml="http://www.w3.org/1998/Math/MathML">
        <m:box>
          <m:e>
            <m:sSub>
              <m:e>
                <m:acc>
                  <m:accPr>
                    <m:chr m:val="^"/>
                  </m:accPr>
                  <m:e>
                    <m:r>
                      <m:rPr>
                        <m:sty m:val="i"/>
                      </m:rPr>
                      <m:t>ρ</m:t>
                    </m:r>
                  </m:e>
                </m:acc>
              </m:e>
              <m:sub>
                <m:r>
                  <m:rPr>
                    <m:sty m:val="p"/>
                  </m:rPr>
                  <m:t>1</m:t>
                </m:r>
              </m:sub>
            </m:sSub>
          </m:e>
        </m:box>
      </m:oMath>
      <w:r>
        <w:rPr>
          <w:rFonts w:ascii="Times New Roman" w:hAnsi="Times New Roman" w:eastAsia="MS Mincho"/>
          <w:b w:val="0"/>
          <w:i w:val="0"/>
          <w:sz w:val="20"/>
        </w:rPr>
        <w:t xml:space="preserve"> against </w:t>
      </w:r>
      <m:oMath xmlns:mml="http://www.w3.org/1998/Math/MathML">
        <m:box>
          <m:e>
            <m:sSub>
              <m:e>
                <m:acc>
                  <m:accPr>
                    <m:chr m:val="^"/>
                  </m:accPr>
                  <m:e>
                    <m:r>
                      <m:rPr>
                        <m:sty m:val="i"/>
                      </m:rPr>
                      <m:t>ρ</m:t>
                    </m:r>
                  </m:e>
                </m:acc>
              </m:e>
              <m:sub>
                <m:r>
                  <m:rPr>
                    <m:sty m:val="p"/>
                  </m:rPr>
                  <m:t>2</m:t>
                </m:r>
              </m:sub>
            </m:sSub>
          </m:e>
        </m:box>
      </m:oMath>
      <w:r>
        <w:rPr>
          <w:rFonts w:ascii="Times New Roman" w:hAnsi="Times New Roman" w:eastAsia="MS Mincho"/>
          <w:b w:val="0"/>
          <w:i w:val="0"/>
          <w:sz w:val="20"/>
        </w:rPr>
        <w:t xml:space="preserve"> under M4. Countries that are far from the (</w:t>
      </w:r>
      <m:oMath xmlns:mml="http://www.w3.org/1998/Math/MathML">
        <m:box>
          <m:e>
            <m:sSub>
              <m:e>
                <m:r>
                  <m:rPr>
                    <m:sty m:val="i"/>
                  </m:rPr>
                  <m:t>ρ</m:t>
                </m:r>
              </m:e>
              <m:sub>
                <m:r>
                  <m:rPr>
                    <m:sty m:val="p"/>
                  </m:rPr>
                  <m:t>1</m:t>
                </m:r>
              </m:sub>
            </m:sSub>
            <m:r>
              <m:rPr>
                <m:sty m:val="p"/>
              </m:rPr>
              <m:t>=</m:t>
            </m:r>
            <m:r>
              <m:rPr>
                <m:sty m:val="p"/>
              </m:rPr>
              <m:t>0</m:t>
            </m:r>
          </m:e>
        </m:box>
      </m:oMath>
      <w:r>
        <w:rPr>
          <w:rFonts w:ascii="Times New Roman" w:hAnsi="Times New Roman" w:eastAsia="MS Mincho"/>
          <w:b w:val="0"/>
          <w:i w:val="0"/>
          <w:sz w:val="20"/>
        </w:rPr>
        <w:t xml:space="preserve">, </w:t>
      </w:r>
      <m:oMath xmlns:mml="http://www.w3.org/1998/Math/MathML">
        <m:box>
          <m:e>
            <m:sSub>
              <m:e>
                <m:r>
                  <m:rPr>
                    <m:sty m:val="i"/>
                  </m:rPr>
                  <m:t>ρ</m:t>
                </m:r>
              </m:e>
              <m:sub>
                <m:r>
                  <m:rPr>
                    <m:sty m:val="p"/>
                  </m:rPr>
                  <m:t>2</m:t>
                </m:r>
              </m:sub>
            </m:sSub>
            <m:r>
              <m:rPr>
                <m:sty m:val="p"/>
              </m:rPr>
              <m:t>=</m:t>
            </m:r>
            <m:r>
              <m:rPr>
                <m:sty m:val="p"/>
              </m:rPr>
              <m:t>1</m:t>
            </m:r>
          </m:e>
        </m:box>
      </m:oMath>
      <w:r>
        <w:rPr>
          <w:rFonts w:ascii="Times New Roman" w:hAnsi="Times New Roman" w:eastAsia="MS Mincho"/>
          <w:b w:val="0"/>
          <w:i w:val="0"/>
          <w:sz w:val="20"/>
        </w:rPr>
        <w:t>) reference point — particularly Switzerland (</w:t>
      </w:r>
      <m:oMath xmlns:mml="http://www.w3.org/1998/Math/MathML">
        <m:box>
          <m:e>
            <m:sSub>
              <m:e>
                <m:acc>
                  <m:accPr>
                    <m:chr m:val="^"/>
                  </m:accPr>
                  <m:e>
                    <m:r>
                      <m:rPr>
                        <m:sty m:val="i"/>
                      </m:rPr>
                      <m:t>ρ</m:t>
                    </m:r>
                  </m:e>
                </m:acc>
              </m:e>
              <m:sub>
                <m:r>
                  <m:rPr>
                    <m:sty m:val="p"/>
                  </m:rPr>
                  <m:t>2</m:t>
                </m:r>
              </m:sub>
            </m:sSub>
            <m:r>
              <m:rPr>
                <m:sty m:val="p"/>
              </m:rPr>
              <m:t>≈</m:t>
            </m:r>
            <m:r>
              <m:rPr>
                <m:sty m:val="p"/>
              </m:rPr>
              <m:t>0.40</m:t>
            </m:r>
          </m:e>
        </m:box>
      </m:oMath>
      <w:r>
        <w:rPr>
          <w:rFonts w:ascii="Times New Roman" w:hAnsi="Times New Roman" w:eastAsia="MS Mincho"/>
          <w:b w:val="0"/>
          <w:i w:val="0"/>
          <w:sz w:val="20"/>
        </w:rPr>
        <w:t>), Poland (</w:t>
      </w:r>
      <m:oMath xmlns:mml="http://www.w3.org/1998/Math/MathML">
        <m:box>
          <m:e>
            <m:sSub>
              <m:e>
                <m:acc>
                  <m:accPr>
                    <m:chr m:val="^"/>
                  </m:accPr>
                  <m:e>
                    <m:r>
                      <m:rPr>
                        <m:sty m:val="i"/>
                      </m:rPr>
                      <m:t>ρ</m:t>
                    </m:r>
                  </m:e>
                </m:acc>
              </m:e>
              <m:sub>
                <m:r>
                  <m:rPr>
                    <m:sty m:val="p"/>
                  </m:rPr>
                  <m:t>2</m:t>
                </m:r>
              </m:sub>
            </m:sSub>
            <m:r>
              <m:rPr>
                <m:sty m:val="p"/>
              </m:rPr>
              <m:t>≈</m:t>
            </m:r>
            <m:r>
              <m:rPr>
                <m:sty m:val="p"/>
              </m:rPr>
              <m:t>0.60</m:t>
            </m:r>
          </m:e>
        </m:box>
      </m:oMath>
      <w:r>
        <w:rPr>
          <w:rFonts w:ascii="Times New Roman" w:hAnsi="Times New Roman" w:eastAsia="MS Mincho"/>
          <w:b w:val="0"/>
          <w:i w:val="0"/>
          <w:sz w:val="20"/>
        </w:rPr>
        <w:t>), and Norway (</w:t>
      </w:r>
      <m:oMath xmlns:mml="http://www.w3.org/1998/Math/MathML">
        <m:box>
          <m:e>
            <m:sSub>
              <m:e>
                <m:acc>
                  <m:accPr>
                    <m:chr m:val="^"/>
                  </m:accPr>
                  <m:e>
                    <m:r>
                      <m:rPr>
                        <m:sty m:val="i"/>
                      </m:rPr>
                      <m:t>ρ</m:t>
                    </m:r>
                  </m:e>
                </m:acc>
              </m:e>
              <m:sub>
                <m:r>
                  <m:rPr>
                    <m:sty m:val="p"/>
                  </m:rPr>
                  <m:t>2</m:t>
                </m:r>
              </m:sub>
            </m:sSub>
            <m:r>
              <m:rPr>
                <m:sty m:val="p"/>
              </m:rPr>
              <m:t>≈</m:t>
            </m:r>
            <m:r>
              <m:rPr>
                <m:sty m:val="p"/>
              </m:rPr>
              <m:t>0.66</m:t>
            </m:r>
          </m:e>
        </m:box>
      </m:oMath>
      <w:r>
        <w:rPr>
          <w:rFonts w:ascii="Times New Roman" w:hAnsi="Times New Roman" w:eastAsia="MS Mincho"/>
          <w:b w:val="0"/>
          <w:i w:val="0"/>
          <w:sz w:val="20"/>
        </w:rPr>
        <w:t xml:space="preserve">) — are exactly those for which the PIM and CWON accounts are known to differ most in asset coverage or in the treatment of natural-resource rents. The RPIM diagnostic therefore serves as a simple, interpretable quality-control tool for national capital accounts: a country whose </w:t>
      </w:r>
      <m:oMath xmlns:mml="http://www.w3.org/1998/Math/MathML">
        <m:box>
          <m:e>
            <m:sSub>
              <m:e>
                <m:acc>
                  <m:accPr>
                    <m:chr m:val="^"/>
                  </m:accPr>
                  <m:e>
                    <m:r>
                      <m:rPr>
                        <m:sty m:val="i"/>
                      </m:rPr>
                      <m:t>ρ</m:t>
                    </m:r>
                  </m:e>
                </m:acc>
              </m:e>
              <m:sub>
                <m:r>
                  <m:rPr>
                    <m:sty m:val="p"/>
                  </m:rPr>
                  <m:t>2</m:t>
                </m:r>
              </m:sub>
            </m:sSub>
          </m:e>
        </m:box>
      </m:oMath>
      <w:r>
        <w:rPr>
          <w:rFonts w:ascii="Times New Roman" w:hAnsi="Times New Roman" w:eastAsia="MS Mincho"/>
          <w:b w:val="0"/>
          <w:i w:val="0"/>
          <w:sz w:val="20"/>
        </w:rPr>
        <w:t xml:space="preserve"> deviates markedly from unity warrants closer investigation of the underlying asset-composition assumptions in both accounts.</w:t>
      </w:r>
    </w:p>
    <w:p>
      <w:pPr>
        <w:spacing w:before="360" w:after="120" w:line="360" w:lineRule="auto"/>
        <w:ind w:firstLine="0"/>
        <w:jc w:val="left"/>
      </w:pPr>
      <w:r>
        <w:rPr>
          <w:rFonts w:ascii="Times New Roman" w:hAnsi="Times New Roman" w:eastAsia="MS Mincho"/>
          <w:b/>
          <w:i w:val="0"/>
          <w:sz w:val="24"/>
        </w:rPr>
        <w:t>S.13 Depreciation–lag sensitivity (Supplementary Figure 7)</w:t>
      </w:r>
    </w:p>
    <w:p>
      <w:pPr>
        <w:spacing w:before="360" w:after="120"/>
        <w:jc w:val="center"/>
      </w:pPr>
      <w:r>
        <w:drawing>
          <wp:inline xmlns:a="http://schemas.openxmlformats.org/drawingml/2006/main" xmlns:pic="http://schemas.openxmlformats.org/drawingml/2006/picture">
            <wp:extent cx="5669280" cy="3401568"/>
            <wp:docPr id="7" name="Picture 7"/>
            <wp:cNvGraphicFramePr>
              <a:graphicFrameLocks noChangeAspect="1"/>
            </wp:cNvGraphicFramePr>
            <a:graphic>
              <a:graphicData uri="http://schemas.openxmlformats.org/drawingml/2006/picture">
                <pic:pic>
                  <pic:nvPicPr>
                    <pic:cNvPr id="0" name="fig7_delta_sensitivity_en.png"/>
                    <pic:cNvPicPr/>
                  </pic:nvPicPr>
                  <pic:blipFill>
                    <a:blip r:embed="rId15"/>
                    <a:stretch>
                      <a:fillRect/>
                    </a:stretch>
                  </pic:blipFill>
                  <pic:spPr>
                    <a:xfrm>
                      <a:off x="0" y="0"/>
                      <a:ext cx="5669280" cy="3401568"/>
                    </a:xfrm>
                    <a:prstGeom prst="rect"/>
                  </pic:spPr>
                </pic:pic>
              </a:graphicData>
            </a:graphic>
          </wp:inline>
        </w:drawing>
      </w:r>
    </w:p>
    <w:p>
      <w:pPr>
        <w:spacing w:after="240"/>
        <w:jc w:val="center"/>
      </w:pPr>
      <w:r>
        <w:rPr>
          <w:rFonts w:ascii="Times New Roman" w:hAnsi="Times New Roman" w:eastAsia="MS Mincho"/>
          <w:b/>
          <w:i w:val="0"/>
          <w:sz w:val="20"/>
        </w:rPr>
        <w:t xml:space="preserve">Supplementary Fig. 7. </w:t>
      </w:r>
      <w:r>
        <w:rPr>
          <w:rFonts w:ascii="Times New Roman" w:hAnsi="Times New Roman" w:eastAsia="MS Mincho"/>
          <w:b w:val="0"/>
          <w:i w:val="0"/>
          <w:sz w:val="20"/>
        </w:rPr>
        <w:t>Depreciation–lag sensitivity: estimated μ̂ under ±20% depreciation perturbations.</w:t>
      </w:r>
    </w:p>
    <w:p>
      <w:pPr>
        <w:spacing w:after="120" w:line="360" w:lineRule="auto"/>
        <w:ind w:firstLine="480"/>
      </w:pPr>
      <w:r>
        <w:rPr>
          <w:rFonts w:ascii="Times New Roman" w:hAnsi="Times New Roman" w:eastAsia="MS Mincho"/>
          <w:b w:val="0"/>
          <w:i w:val="0"/>
          <w:sz w:val="20"/>
        </w:rPr>
        <w:t xml:space="preserve">A natural concern (discussed further in Section 6.6) is that if the true depreciation rate </w:t>
      </w:r>
      <m:oMath xmlns:mml="http://www.w3.org/1998/Math/MathML">
        <m:box>
          <m:e>
            <m:r>
              <m:rPr>
                <m:sty m:val="i"/>
              </m:rPr>
              <m:t>δ</m:t>
            </m:r>
          </m:e>
        </m:box>
      </m:oMath>
      <w:r>
        <w:rPr>
          <w:rFonts w:ascii="Times New Roman" w:hAnsi="Times New Roman" w:eastAsia="MS Mincho"/>
          <w:b w:val="0"/>
          <w:i w:val="0"/>
          <w:sz w:val="20"/>
        </w:rPr>
        <w:t xml:space="preserve"> is itself drifting, some of what we attribute to </w:t>
      </w:r>
      <m:oMath xmlns:mml="http://www.w3.org/1998/Math/MathML">
        <m:box>
          <m:e>
            <m:r>
              <m:rPr>
                <m:sty m:val="i"/>
              </m:rPr>
              <m:t>μ</m:t>
            </m:r>
            <m:r>
              <m:rPr>
                <m:sty m:val="p"/>
              </m:rPr>
              <m:t>(</m:t>
            </m:r>
            <m:r>
              <m:rPr>
                <m:sty m:val="i"/>
              </m:rPr>
              <m:t>t</m:t>
            </m:r>
            <m:r>
              <m:rPr>
                <m:sty m:val="p"/>
              </m:rPr>
              <m:t>)</m:t>
            </m:r>
          </m:e>
        </m:box>
      </m:oMath>
      <w:r>
        <w:rPr>
          <w:rFonts w:ascii="Times New Roman" w:hAnsi="Times New Roman" w:eastAsia="MS Mincho"/>
          <w:b w:val="0"/>
          <w:i w:val="0"/>
          <w:sz w:val="20"/>
        </w:rPr>
        <w:t xml:space="preserve"> could instead be absorbed by a time-varying </w:t>
      </w:r>
      <m:oMath xmlns:mml="http://www.w3.org/1998/Math/MathML">
        <m:box>
          <m:e>
            <m:r>
              <m:rPr>
                <m:sty m:val="i"/>
              </m:rPr>
              <m:t>δ</m:t>
            </m:r>
            <m:r>
              <m:rPr>
                <m:sty m:val="p"/>
              </m:rPr>
              <m:t>(</m:t>
            </m:r>
            <m:r>
              <m:rPr>
                <m:sty m:val="i"/>
              </m:rPr>
              <m:t>t</m:t>
            </m:r>
            <m:r>
              <m:rPr>
                <m:sty m:val="p"/>
              </m:rPr>
              <m:t>)</m:t>
            </m:r>
            <m:r>
              <m:rPr>
                <m:sty m:val="p"/>
              </m:rPr>
              <m:t>.</m:t>
            </m:r>
          </m:e>
        </m:box>
      </m:oMath>
      <w:r>
        <w:rPr>
          <w:rFonts w:ascii="Times New Roman" w:hAnsi="Times New Roman" w:eastAsia="MS Mincho"/>
          <w:b w:val="0"/>
          <w:i w:val="0"/>
          <w:sz w:val="20"/>
        </w:rPr>
        <w:t xml:space="preserve"> We address this directly by re-estimating the constant lag </w:t>
      </w:r>
      <m:oMath xmlns:mml="http://www.w3.org/1998/Math/MathML">
        <m:box>
          <m:e>
            <m:acc>
              <m:accPr>
                <m:chr m:val="^"/>
              </m:accPr>
              <m:e>
                <m:r>
                  <m:rPr>
                    <m:sty m:val="i"/>
                  </m:rPr>
                  <m:t>μ</m:t>
                </m:r>
              </m:e>
            </m:acc>
          </m:e>
        </m:box>
      </m:oMath>
      <w:r>
        <w:rPr>
          <w:rFonts w:ascii="Times New Roman" w:hAnsi="Times New Roman" w:eastAsia="MS Mincho"/>
          <w:b w:val="0"/>
          <w:i w:val="0"/>
          <w:sz w:val="20"/>
        </w:rPr>
        <w:t xml:space="preserve"> (M1) under five depreciation scenarios: </w:t>
      </w:r>
      <m:oMath xmlns:mml="http://www.w3.org/1998/Math/MathML">
        <m:box>
          <m:e>
            <m:r>
              <m:rPr>
                <m:sty m:val="i"/>
              </m:rPr>
              <m:t>δ</m:t>
            </m:r>
            <m:r>
              <m:rPr>
                <m:sty m:val="i"/>
              </m:rPr>
              <m:t>×</m:t>
            </m:r>
          </m:e>
        </m:box>
      </m:oMath>
      <w:r>
        <w:rPr>
          <w:rFonts w:ascii="Times New Roman" w:hAnsi="Times New Roman" w:eastAsia="MS Mincho"/>
          <w:b w:val="0"/>
          <w:i w:val="0"/>
          <w:sz w:val="20"/>
        </w:rPr>
        <w:t xml:space="preserve"> {0.80, 0.90, 1.00, 1.10, 1.20}.</w:t>
      </w:r>
    </w:p>
    <w:p>
      <w:pPr>
        <w:spacing w:after="120" w:line="360" w:lineRule="auto"/>
        <w:ind w:firstLine="480"/>
      </w:pPr>
      <w:r>
        <w:rPr>
          <w:rFonts w:ascii="Times New Roman" w:hAnsi="Times New Roman" w:eastAsia="MS Mincho"/>
          <w:b w:val="0"/>
          <w:i w:val="0"/>
          <w:sz w:val="20"/>
        </w:rPr>
        <w:t xml:space="preserve">Supplementary Figure 7 shows the results. The main finding is that </w:t>
      </w:r>
      <m:oMath xmlns:mml="http://www.w3.org/1998/Math/MathML">
        <m:box>
          <m:e>
            <m:acc>
              <m:accPr>
                <m:chr m:val="^"/>
              </m:accPr>
              <m:e>
                <m:r>
                  <m:rPr>
                    <m:sty m:val="i"/>
                  </m:rPr>
                  <m:t>μ</m:t>
                </m:r>
              </m:e>
            </m:acc>
          </m:e>
        </m:box>
      </m:oMath>
      <w:r>
        <w:rPr>
          <w:rFonts w:ascii="Times New Roman" w:hAnsi="Times New Roman" w:eastAsia="MS Mincho"/>
          <w:b w:val="0"/>
          <w:i w:val="0"/>
          <w:sz w:val="20"/>
        </w:rPr>
        <w:t xml:space="preserve"> is remarkably stable across the ±20 % depreciation perturbation for most countries. The cross-country mean </w:t>
      </w:r>
      <m:oMath xmlns:mml="http://www.w3.org/1998/Math/MathML">
        <m:box>
          <m:e>
            <m:acc>
              <m:accPr>
                <m:chr m:val="^"/>
              </m:accPr>
              <m:e>
                <m:r>
                  <m:rPr>
                    <m:sty m:val="i"/>
                  </m:rPr>
                  <m:t>μ</m:t>
                </m:r>
              </m:e>
            </m:acc>
          </m:e>
        </m:box>
      </m:oMath>
      <w:r>
        <w:rPr>
          <w:rFonts w:ascii="Times New Roman" w:hAnsi="Times New Roman" w:eastAsia="MS Mincho"/>
          <w:b w:val="0"/>
          <w:i w:val="0"/>
          <w:sz w:val="20"/>
        </w:rPr>
        <w:t xml:space="preserve"> moves from 1.61 years (</w:t>
      </w:r>
      <m:oMath xmlns:mml="http://www.w3.org/1998/Math/MathML">
        <m:box>
          <m:e>
            <m:r>
              <m:rPr>
                <m:sty m:val="i"/>
              </m:rPr>
              <m:t>δ</m:t>
            </m:r>
            <m:r>
              <m:rPr>
                <m:sty m:val="i"/>
              </m:rPr>
              <m:t>×</m:t>
            </m:r>
            <m:r>
              <m:rPr>
                <m:sty m:val="p"/>
              </m:rPr>
              <m:t>0.80</m:t>
            </m:r>
          </m:e>
        </m:box>
      </m:oMath>
      <w:r>
        <w:rPr>
          <w:rFonts w:ascii="Times New Roman" w:hAnsi="Times New Roman" w:eastAsia="MS Mincho"/>
          <w:b w:val="0"/>
          <w:i w:val="0"/>
          <w:sz w:val="20"/>
        </w:rPr>
        <w:t>) to 1.52 years (</w:t>
      </w:r>
      <m:oMath xmlns:mml="http://www.w3.org/1998/Math/MathML">
        <m:box>
          <m:e>
            <m:r>
              <m:rPr>
                <m:sty m:val="i"/>
              </m:rPr>
              <m:t>δ</m:t>
            </m:r>
            <m:r>
              <m:rPr>
                <m:sty m:val="i"/>
              </m:rPr>
              <m:t>×</m:t>
            </m:r>
            <m:r>
              <m:rPr>
                <m:sty m:val="p"/>
              </m:rPr>
              <m:t>1.20</m:t>
            </m:r>
          </m:e>
        </m:box>
      </m:oMath>
      <w:r>
        <w:rPr>
          <w:rFonts w:ascii="Times New Roman" w:hAnsi="Times New Roman" w:eastAsia="MS Mincho"/>
          <w:b w:val="0"/>
          <w:i w:val="0"/>
          <w:sz w:val="20"/>
        </w:rPr>
        <w:t xml:space="preserve">), a shift of only 0.09 years — less than 6 % of the baseline estimate. The median </w:t>
      </w:r>
      <m:oMath xmlns:mml="http://www.w3.org/1998/Math/MathML">
        <m:box>
          <m:e>
            <m:acc>
              <m:accPr>
                <m:chr m:val="^"/>
              </m:accPr>
              <m:e>
                <m:r>
                  <m:rPr>
                    <m:sty m:val="i"/>
                  </m:rPr>
                  <m:t>μ</m:t>
                </m:r>
              </m:e>
            </m:acc>
          </m:e>
        </m:box>
      </m:oMath>
      <w:r>
        <w:rPr>
          <w:rFonts w:ascii="Times New Roman" w:hAnsi="Times New Roman" w:eastAsia="MS Mincho"/>
          <w:b w:val="0"/>
          <w:i w:val="0"/>
          <w:sz w:val="20"/>
        </w:rPr>
        <w:t xml:space="preserve"> is virtually invariant at 0.26 years across all five scenarios. Countries with interior-solution </w:t>
      </w:r>
      <m:oMath xmlns:mml="http://www.w3.org/1998/Math/MathML">
        <m:box>
          <m:e>
            <m:acc>
              <m:accPr>
                <m:chr m:val="^"/>
              </m:accPr>
              <m:e>
                <m:r>
                  <m:rPr>
                    <m:sty m:val="i"/>
                  </m:rPr>
                  <m:t>μ</m:t>
                </m:r>
              </m:e>
            </m:acc>
          </m:e>
        </m:box>
      </m:oMath>
      <w:r>
        <w:rPr>
          <w:rFonts w:ascii="Times New Roman" w:hAnsi="Times New Roman" w:eastAsia="MS Mincho"/>
          <w:b w:val="0"/>
          <w:i w:val="0"/>
          <w:sz w:val="20"/>
        </w:rPr>
        <w:t xml:space="preserve"> values (Slovakia, Luxembourg, United Kingdom, Sweden, Slovenia, and Colombia) show the expected negative relationship: higher depreciation slightly reduces the estimated lag, since faster depreciation absorbs some of the growth-rate variation that would otherwise be attributed to the gestation delay. However, the sensitivity is quantitatively small: a ±20 % perturbation in </w:t>
      </w:r>
      <m:oMath xmlns:mml="http://www.w3.org/1998/Math/MathML">
        <m:box>
          <m:e>
            <m:r>
              <m:rPr>
                <m:sty m:val="i"/>
              </m:rPr>
              <m:t>δ</m:t>
            </m:r>
          </m:e>
        </m:box>
      </m:oMath>
      <w:r>
        <w:rPr>
          <w:rFonts w:ascii="Times New Roman" w:hAnsi="Times New Roman" w:eastAsia="MS Mincho"/>
          <w:b w:val="0"/>
          <w:i w:val="0"/>
          <w:sz w:val="20"/>
        </w:rPr>
        <w:t xml:space="preserve"> moves </w:t>
      </w:r>
      <m:oMath xmlns:mml="http://www.w3.org/1998/Math/MathML">
        <m:box>
          <m:e>
            <m:acc>
              <m:accPr>
                <m:chr m:val="^"/>
              </m:accPr>
              <m:e>
                <m:r>
                  <m:rPr>
                    <m:sty m:val="i"/>
                  </m:rPr>
                  <m:t>μ</m:t>
                </m:r>
              </m:e>
            </m:acc>
          </m:e>
        </m:box>
      </m:oMath>
      <w:r>
        <w:rPr>
          <w:rFonts w:ascii="Times New Roman" w:hAnsi="Times New Roman" w:eastAsia="MS Mincho"/>
          <w:b w:val="0"/>
          <w:i w:val="0"/>
          <w:sz w:val="20"/>
        </w:rPr>
        <w:t xml:space="preserve"> by at most 1.25 years even for the most sensitive country (Slovakia: 5.75 → 4.50 years; Luxembourg: 3.75 → 3.00 years). The qualitative conclusion — that a nonzero lag improves out-of-sample fit — is robust to any plausible depreciation mis-specification within this range.</w:t>
      </w:r>
    </w:p>
    <w:p>
      <w:pPr>
        <w:spacing w:before="360" w:after="120" w:line="360" w:lineRule="auto"/>
        <w:ind w:firstLine="0"/>
        <w:jc w:val="left"/>
      </w:pPr>
      <w:r>
        <w:rPr>
          <w:rFonts w:ascii="Times New Roman" w:hAnsi="Times New Roman" w:eastAsia="MS Mincho"/>
          <w:b/>
          <w:i w:val="0"/>
          <w:sz w:val="24"/>
        </w:rPr>
        <w:t>S.14 Conditional out-of-sample evaluation (Supplementary Figure 8)</w:t>
      </w:r>
    </w:p>
    <w:p>
      <w:pPr>
        <w:spacing w:before="360" w:after="120"/>
        <w:jc w:val="center"/>
      </w:pPr>
      <w:r>
        <w:drawing>
          <wp:inline xmlns:a="http://schemas.openxmlformats.org/drawingml/2006/main" xmlns:pic="http://schemas.openxmlformats.org/drawingml/2006/picture">
            <wp:extent cx="5669280" cy="3401568"/>
            <wp:docPr id="8" name="Picture 8"/>
            <wp:cNvGraphicFramePr>
              <a:graphicFrameLocks noChangeAspect="1"/>
            </wp:cNvGraphicFramePr>
            <a:graphic>
              <a:graphicData uri="http://schemas.openxmlformats.org/drawingml/2006/picture">
                <pic:pic>
                  <pic:nvPicPr>
                    <pic:cNvPr id="0" name="fig8_conditional_oos_en.png"/>
                    <pic:cNvPicPr/>
                  </pic:nvPicPr>
                  <pic:blipFill>
                    <a:blip r:embed="rId16"/>
                    <a:stretch>
                      <a:fillRect/>
                    </a:stretch>
                  </pic:blipFill>
                  <pic:spPr>
                    <a:xfrm>
                      <a:off x="0" y="0"/>
                      <a:ext cx="5669280" cy="3401568"/>
                    </a:xfrm>
                    <a:prstGeom prst="rect"/>
                  </pic:spPr>
                </pic:pic>
              </a:graphicData>
            </a:graphic>
          </wp:inline>
        </w:drawing>
      </w:r>
    </w:p>
    <w:p>
      <w:pPr>
        <w:spacing w:after="240"/>
        <w:jc w:val="center"/>
      </w:pPr>
      <w:r>
        <w:rPr>
          <w:rFonts w:ascii="Times New Roman" w:hAnsi="Times New Roman" w:eastAsia="MS Mincho"/>
          <w:b/>
          <w:i w:val="0"/>
          <w:sz w:val="20"/>
        </w:rPr>
        <w:t xml:space="preserve">Supplementary Fig. 8. </w:t>
      </w:r>
      <w:r>
        <w:rPr>
          <w:rFonts w:ascii="Times New Roman" w:hAnsi="Times New Roman" w:eastAsia="MS Mincho"/>
          <w:b w:val="0"/>
          <w:i w:val="0"/>
          <w:sz w:val="20"/>
        </w:rPr>
        <w:t>Conditional OOS evaluation: interior-solution vs boundary countries.</w:t>
      </w:r>
    </w:p>
    <w:p>
      <w:pPr>
        <w:spacing w:after="120" w:line="360" w:lineRule="auto"/>
        <w:ind w:firstLine="480"/>
      </w:pPr>
      <w:r>
        <w:rPr>
          <w:rFonts w:ascii="Times New Roman" w:hAnsi="Times New Roman" w:eastAsia="MS Mincho"/>
          <w:b w:val="0"/>
          <w:i w:val="0"/>
          <w:sz w:val="20"/>
        </w:rPr>
        <w:t xml:space="preserve">Table 1 reports that M4 (joint tempo + intangible) achieves an out-of-sample MAPE of 4.61 %, virtually identical to M0 (4.60 %). This apparent non-improvement deserves scrutiny. In the constant-lag (M1) grid search, 25 of the 39 countries hit a boundary for </w:t>
      </w:r>
      <m:oMath xmlns:mml="http://www.w3.org/1998/Math/MathML">
        <m:box>
          <m:e>
            <m:r>
              <m:rPr>
                <m:sty m:val="i"/>
              </m:rPr>
              <m:t>μ</m:t>
            </m:r>
          </m:e>
        </m:box>
      </m:oMath>
      <w:r>
        <w:rPr>
          <w:rFonts w:ascii="Times New Roman" w:hAnsi="Times New Roman" w:eastAsia="MS Mincho"/>
          <w:b w:val="0"/>
          <w:i w:val="0"/>
          <w:sz w:val="20"/>
        </w:rPr>
        <w:t>: 18 at the lower bound (0.01, effectively zero lag) and 7 at the upper bound (6.0). For the lower-bound countries the lag correction is mechanically inoperative (</w:t>
      </w:r>
      <m:oMath xmlns:mml="http://www.w3.org/1998/Math/MathML">
        <m:box>
          <m:e>
            <m:acc>
              <m:accPr>
                <m:chr m:val="^"/>
              </m:accPr>
              <m:e>
                <m:r>
                  <m:rPr>
                    <m:sty m:val="i"/>
                  </m:rPr>
                  <m:t>μ</m:t>
                </m:r>
              </m:e>
            </m:acc>
            <m:r>
              <m:rPr>
                <m:sty m:val="p"/>
              </m:rPr>
              <m:t>≈</m:t>
            </m:r>
            <m:r>
              <m:rPr>
                <m:sty m:val="p"/>
              </m:rPr>
              <m:t>0</m:t>
            </m:r>
          </m:e>
        </m:box>
      </m:oMath>
      <w:r>
        <w:rPr>
          <w:rFonts w:ascii="Times New Roman" w:hAnsi="Times New Roman" w:eastAsia="MS Mincho"/>
          <w:b w:val="0"/>
          <w:i w:val="0"/>
          <w:sz w:val="20"/>
        </w:rPr>
        <w:t xml:space="preserve"> ≡ M0), while for the upper-bound countries the lag is constrained at the longest admissible value, so the full-sample M0–M4 comparison conflates several distinct groups.</w:t>
      </w:r>
    </w:p>
    <w:p>
      <w:pPr>
        <w:spacing w:after="120" w:line="360" w:lineRule="auto"/>
        <w:ind w:firstLine="480"/>
      </w:pPr>
      <w:r>
        <w:rPr>
          <w:rFonts w:ascii="Times New Roman" w:hAnsi="Times New Roman" w:eastAsia="MS Mincho"/>
          <w:b w:val="0"/>
          <w:i w:val="0"/>
          <w:sz w:val="20"/>
        </w:rPr>
        <w:t>Supplementary Figure 8 therefore reports the OOS performance separately for the 14 interior-solution countries (</w:t>
      </w:r>
      <m:oMath xmlns:mml="http://www.w3.org/1998/Math/MathML">
        <m:box>
          <m:e>
            <m:sSub>
              <m:e>
                <m:acc>
                  <m:accPr>
                    <m:chr m:val="^"/>
                  </m:accPr>
                  <m:e>
                    <m:r>
                      <m:rPr>
                        <m:sty m:val="i"/>
                      </m:rPr>
                      <m:t>μ</m:t>
                    </m:r>
                  </m:e>
                </m:acc>
              </m:e>
              <m:sub>
                <m:box>
                  <m:e>
                    <m:r>
                      <m:rPr>
                        <m:sty m:val="i"/>
                      </m:rPr>
                      <m:t>M</m:t>
                    </m:r>
                    <m:r>
                      <m:rPr>
                        <m:sty m:val="p"/>
                      </m:rPr>
                      <m:t>1</m:t>
                    </m:r>
                  </m:e>
                </m:box>
              </m:sub>
            </m:sSub>
          </m:e>
        </m:box>
      </m:oMath>
      <w:r>
        <w:rPr>
          <w:rFonts w:ascii="Times New Roman" w:hAnsi="Times New Roman" w:eastAsia="MS Mincho"/>
          <w:b w:val="0"/>
          <w:i w:val="0"/>
          <w:sz w:val="20"/>
        </w:rPr>
        <w:t xml:space="preserve"> ∈ (0.02, 5.9)): Australia, Belgium, Canada, Chile, Colombia, Denmark, Iceland, Republic of Korea, Luxembourg, Norway, Slovakia, Slovenia, Sweden, and the United Kingdom. For this subsample, M1 (constant lag) achieves a median MAPE of 4.23 %, slightly below M0's 4.27 %. For the boundary-solution countries, M1 and M2 also improve over M0 (boundary M1 = 3.98 %, boundary M2 = 3.83 % vs. boundary M0 = 4.72 %), reflecting the contribution of countries whose estimated lag is at the upper bound. The key insight is that the full-sample median mixes countries where the lag correction is mechanically inoperative, countries where it is constrained at the boundary, and countries where it is freely estimated in the interior.</w:t>
      </w:r>
    </w:p>
    <w:p>
      <w:pPr>
        <w:spacing w:before="360" w:after="120" w:line="360" w:lineRule="auto"/>
        <w:ind w:firstLine="0"/>
        <w:jc w:val="left"/>
      </w:pPr>
      <w:r>
        <w:rPr>
          <w:rFonts w:ascii="Times New Roman" w:hAnsi="Times New Roman" w:eastAsia="MS Mincho"/>
          <w:b/>
          <w:i w:val="0"/>
          <w:sz w:val="24"/>
        </w:rPr>
        <w:t>S.15 Extended out-of-sample metrics (Supplementary Table 7)</w:t>
      </w:r>
    </w:p>
    <w:p>
      <w:pPr>
        <w:spacing w:after="120" w:line="360" w:lineRule="auto"/>
        <w:ind w:firstLine="480"/>
      </w:pPr>
      <w:r>
        <w:rPr>
          <w:rFonts w:ascii="Times New Roman" w:hAnsi="Times New Roman" w:eastAsia="MS Mincho"/>
          <w:b w:val="0"/>
          <w:i w:val="0"/>
          <w:sz w:val="20"/>
        </w:rPr>
        <w:t xml:space="preserve">MAPE measures average percentage error in GDP levels but does not capture whether models track the </w:t>
      </w:r>
      <w:r>
        <w:rPr>
          <w:rFonts w:ascii="Times New Roman" w:hAnsi="Times New Roman" w:eastAsia="MS Mincho"/>
          <w:b w:val="0"/>
          <w:i/>
          <w:sz w:val="20"/>
        </w:rPr>
        <w:t>direction</w:t>
      </w:r>
      <w:r>
        <w:rPr>
          <w:rFonts w:ascii="Times New Roman" w:hAnsi="Times New Roman" w:eastAsia="MS Mincho"/>
          <w:b w:val="0"/>
          <w:i w:val="0"/>
          <w:sz w:val="20"/>
        </w:rPr>
        <w:t xml:space="preserve"> of GDP growth or the </w:t>
      </w:r>
      <w:r>
        <w:rPr>
          <w:rFonts w:ascii="Times New Roman" w:hAnsi="Times New Roman" w:eastAsia="MS Mincho"/>
          <w:b w:val="0"/>
          <w:i/>
          <w:sz w:val="20"/>
        </w:rPr>
        <w:t>trajectory</w:t>
      </w:r>
      <w:r>
        <w:rPr>
          <w:rFonts w:ascii="Times New Roman" w:hAnsi="Times New Roman" w:eastAsia="MS Mincho"/>
          <w:b w:val="0"/>
          <w:i w:val="0"/>
          <w:sz w:val="20"/>
        </w:rPr>
        <w:t xml:space="preserve"> of the wealth-side capital stock. Supplementary Table 7 reports two additional metrics computed on the 2015–2019 hold-out window.</w:t>
      </w:r>
    </w:p>
    <w:p>
      <w:pPr>
        <w:spacing w:after="120" w:line="360" w:lineRule="auto"/>
        <w:ind w:firstLine="480"/>
      </w:pPr>
      <w:r>
        <w:rPr>
          <w:rFonts w:ascii="Times New Roman" w:hAnsi="Times New Roman" w:eastAsia="MS Mincho"/>
          <w:b w:val="0"/>
          <w:i w:val="0"/>
          <w:sz w:val="20"/>
        </w:rPr>
        <w:t>First, direction accuracy — the fraction of test years for which the model correctly predicts the sign of GDP growth — is uniformly high across all models (median 100 %), reflecting the fact that GDP growth was positive in almost all OECD economies throughout 2015–2019. Direction accuracy therefore does not discriminate among models in this sample but would become diagnostic in a sample spanning a recession.</w:t>
      </w:r>
    </w:p>
    <w:p>
      <w:pPr>
        <w:spacing w:after="120" w:line="360" w:lineRule="auto"/>
        <w:ind w:firstLine="480"/>
      </w:pPr>
      <w:r>
        <w:rPr>
          <w:rFonts w:ascii="Times New Roman" w:hAnsi="Times New Roman" w:eastAsia="MS Mincho"/>
          <w:b w:val="0"/>
          <w:i w:val="0"/>
          <w:sz w:val="20"/>
        </w:rPr>
        <w:t>Second, the CWON trajectory RMSE measures how well each model's PIM capital stock tracks the CWON produced-capital trajectory on the hold-out years (demeaned log comparison). Here M2 (tempo drift) achieves the lowest median RMSE (0.0072), compared with M0 (0.0085) — a 15.3 % improvement. M1 (constant lag) is intermediate (0.0077). M4 achieves 0.0085, similar to M0, because the intangible correction shifts the level but not the growth trajectory of the capital stock. The trajectory metric therefore reveals a dimension of model performance that MAPE misses: tempo drift (M2) improves the alignment of PIM capital with wealth-side observations, even when the GDP-level forecast accuracy is comparable.</w:t>
      </w:r>
    </w:p>
    <w:p>
      <w:pPr>
        <w:spacing w:before="360" w:after="120" w:line="360" w:lineRule="auto"/>
        <w:ind w:firstLine="0"/>
        <w:jc w:val="left"/>
      </w:pPr>
      <w:r>
        <w:rPr>
          <w:rFonts w:ascii="Times New Roman" w:hAnsi="Times New Roman" w:eastAsia="MS Mincho"/>
          <w:b/>
          <w:i w:val="0"/>
          <w:sz w:val="24"/>
        </w:rPr>
        <w:t>S.16 Counterfactual wealth: what if β entered official statistics? (Supplementary Figure 9)</w:t>
      </w:r>
    </w:p>
    <w:p>
      <w:pPr>
        <w:spacing w:before="360" w:after="120"/>
        <w:jc w:val="center"/>
      </w:pPr>
      <w:r>
        <w:drawing>
          <wp:inline xmlns:a="http://schemas.openxmlformats.org/drawingml/2006/main" xmlns:pic="http://schemas.openxmlformats.org/drawingml/2006/picture">
            <wp:extent cx="5669280" cy="2799703"/>
            <wp:docPr id="9" name="Picture 9"/>
            <wp:cNvGraphicFramePr>
              <a:graphicFrameLocks noChangeAspect="1"/>
            </wp:cNvGraphicFramePr>
            <a:graphic>
              <a:graphicData uri="http://schemas.openxmlformats.org/drawingml/2006/picture">
                <pic:pic>
                  <pic:nvPicPr>
                    <pic:cNvPr id="0" name="fig14_counterfactual_wealth_en.png"/>
                    <pic:cNvPicPr/>
                  </pic:nvPicPr>
                  <pic:blipFill>
                    <a:blip r:embed="rId17"/>
                    <a:stretch>
                      <a:fillRect/>
                    </a:stretch>
                  </pic:blipFill>
                  <pic:spPr>
                    <a:xfrm>
                      <a:off x="0" y="0"/>
                      <a:ext cx="5669280" cy="2799703"/>
                    </a:xfrm>
                    <a:prstGeom prst="rect"/>
                  </pic:spPr>
                </pic:pic>
              </a:graphicData>
            </a:graphic>
          </wp:inline>
        </w:drawing>
      </w:r>
    </w:p>
    <w:p>
      <w:pPr>
        <w:spacing w:after="240"/>
        <w:jc w:val="center"/>
      </w:pPr>
      <w:r>
        <w:rPr>
          <w:rFonts w:ascii="Times New Roman" w:hAnsi="Times New Roman" w:eastAsia="MS Mincho"/>
          <w:b/>
          <w:i w:val="0"/>
          <w:sz w:val="20"/>
        </w:rPr>
        <w:t xml:space="preserve">Supplementary Fig. 9. </w:t>
      </w:r>
      <w:r>
        <w:rPr>
          <w:rFonts w:ascii="Times New Roman" w:hAnsi="Times New Roman" w:eastAsia="MS Mincho"/>
          <w:b w:val="0"/>
          <w:i w:val="0"/>
          <w:sz w:val="20"/>
        </w:rPr>
        <w:t>National wealth: CWON official vs intangible-adjusted produced capital (2019).</w:t>
      </w:r>
    </w:p>
    <w:p>
      <w:pPr>
        <w:spacing w:after="120" w:line="360" w:lineRule="auto"/>
        <w:ind w:firstLine="480"/>
      </w:pPr>
      <w:r>
        <w:rPr>
          <w:rFonts w:ascii="Times New Roman" w:hAnsi="Times New Roman" w:eastAsia="MS Mincho"/>
          <w:b w:val="0"/>
          <w:i w:val="0"/>
          <w:sz w:val="20"/>
        </w:rPr>
        <w:t xml:space="preserve">The intangible capital share </w:t>
      </w:r>
      <m:oMath xmlns:mml="http://www.w3.org/1998/Math/MathML">
        <m:box>
          <m:e>
            <m:r>
              <m:rPr>
                <m:sty m:val="i"/>
              </m:rPr>
              <m:t>β</m:t>
            </m:r>
          </m:e>
        </m:box>
      </m:oMath>
      <w:r>
        <w:rPr>
          <w:rFonts w:ascii="Times New Roman" w:hAnsi="Times New Roman" w:eastAsia="MS Mincho"/>
          <w:b w:val="0"/>
          <w:i w:val="0"/>
          <w:sz w:val="20"/>
        </w:rPr>
        <w:t xml:space="preserve"> has a direct policy implication: if </w:t>
      </w:r>
      <m:oMath xmlns:mml="http://www.w3.org/1998/Math/MathML">
        <m:box>
          <m:e>
            <m:r>
              <m:rPr>
                <m:sty m:val="i"/>
              </m:rPr>
              <m:t>β</m:t>
            </m:r>
          </m:e>
        </m:box>
      </m:oMath>
      <w:r>
        <w:rPr>
          <w:rFonts w:ascii="Times New Roman" w:hAnsi="Times New Roman" w:eastAsia="MS Mincho"/>
          <w:b w:val="0"/>
          <w:i w:val="0"/>
          <w:sz w:val="20"/>
        </w:rPr>
        <w:t xml:space="preserve"> were included in official wealth accounts, national produced capital would be revised upward. To quantify this, we compute the counterfactual produced capital for each country at 2019 as </w:t>
      </w:r>
      <m:oMath xmlns:mml="http://www.w3.org/1998/Math/MathML">
        <m:box>
          <m:e>
            <m:r>
              <m:rPr>
                <m:sty m:val="i"/>
              </m:rPr>
              <m:t>C</m:t>
            </m:r>
            <m:r>
              <m:rPr>
                <m:sty m:val="i"/>
              </m:rPr>
              <m:t>W</m:t>
            </m:r>
            <m:r>
              <m:rPr>
                <m:sty m:val="i"/>
              </m:rPr>
              <m:t>O</m:t>
            </m:r>
            <m:sSub>
              <m:e>
                <m:r>
                  <m:rPr>
                    <m:sty m:val="i"/>
                  </m:rPr>
                  <m:t>N</m:t>
                </m:r>
              </m:e>
              <m:sub>
                <m:box>
                  <m:e>
                    <m:r>
                      <m:rPr>
                        <m:sty m:val="i"/>
                      </m:rPr>
                      <m:t>P</m:t>
                    </m:r>
                    <m:r>
                      <m:rPr>
                        <m:sty m:val="i"/>
                      </m:rPr>
                      <m:t>C</m:t>
                    </m:r>
                    <m:r>
                      <m:rPr>
                        <m:sty m:val="i"/>
                      </m:rPr>
                      <m:t>A</m:t>
                    </m:r>
                  </m:e>
                </m:box>
              </m:sub>
            </m:sSub>
            <m:r>
              <m:rPr>
                <m:sty m:val="i"/>
              </m:rPr>
              <m:t>×</m:t>
            </m:r>
          </m:e>
        </m:box>
      </m:oMath>
      <w:r>
        <w:rPr>
          <w:rFonts w:ascii="Times New Roman" w:hAnsi="Times New Roman" w:eastAsia="MS Mincho"/>
          <w:b w:val="0"/>
          <w:i w:val="0"/>
          <w:sz w:val="20"/>
        </w:rPr>
        <w:t xml:space="preserve"> (1 + </w:t>
      </w:r>
      <m:oMath xmlns:mml="http://www.w3.org/1998/Math/MathML">
        <m:box>
          <m:e>
            <m:acc>
              <m:accPr>
                <m:chr m:val="^"/>
              </m:accPr>
              <m:e>
                <m:r>
                  <m:rPr>
                    <m:sty m:val="i"/>
                  </m:rPr>
                  <m:t>β</m:t>
                </m:r>
              </m:e>
            </m:acc>
            <m:r>
              <m:rPr>
                <m:sty m:val="i"/>
              </m:rPr>
              <m:t>×</m:t>
            </m:r>
            <m:sSub>
              <m:e>
                <m:r>
                  <m:rPr>
                    <m:sty m:val="i"/>
                  </m:rPr>
                  <m:t>K</m:t>
                </m:r>
              </m:e>
              <m:sub>
                <m:box>
                  <m:e>
                    <m:r>
                      <m:rPr>
                        <m:sty m:val="i"/>
                      </m:rPr>
                      <m:t>I</m:t>
                    </m:r>
                  </m:e>
                </m:box>
              </m:sub>
            </m:sSub>
            <m:r>
              <m:rPr>
                <m:sty m:val="p"/>
              </m:rPr>
              <m:t>/</m:t>
            </m:r>
            <m:sSub>
              <m:e>
                <m:r>
                  <m:rPr>
                    <m:sty m:val="i"/>
                  </m:rPr>
                  <m:t>K</m:t>
                </m:r>
              </m:e>
              <m:sub>
                <m:box>
                  <m:e>
                    <m:r>
                      <m:rPr>
                        <m:sty m:val="i"/>
                      </m:rPr>
                      <m:t>t</m:t>
                    </m:r>
                    <m:r>
                      <m:rPr>
                        <m:sty m:val="i"/>
                      </m:rPr>
                      <m:t>a</m:t>
                    </m:r>
                    <m:r>
                      <m:rPr>
                        <m:sty m:val="i"/>
                      </m:rPr>
                      <m:t>n</m:t>
                    </m:r>
                    <m:r>
                      <m:rPr>
                        <m:sty m:val="i"/>
                      </m:rPr>
                      <m:t>g</m:t>
                    </m:r>
                  </m:e>
                </m:box>
              </m:sub>
            </m:sSub>
          </m:e>
        </m:box>
      </m:oMath>
      <w:r>
        <w:rPr>
          <w:rFonts w:ascii="Times New Roman" w:hAnsi="Times New Roman" w:eastAsia="MS Mincho"/>
          <w:b w:val="0"/>
          <w:i w:val="0"/>
          <w:sz w:val="20"/>
        </w:rPr>
        <w:t xml:space="preserve">), where </w:t>
      </w:r>
      <m:oMath xmlns:mml="http://www.w3.org/1998/Math/MathML">
        <m:box>
          <m:e>
            <m:sSub>
              <m:e>
                <m:r>
                  <m:rPr>
                    <m:sty m:val="i"/>
                  </m:rPr>
                  <m:t>K</m:t>
                </m:r>
              </m:e>
              <m:sub>
                <m:box>
                  <m:e>
                    <m:r>
                      <m:rPr>
                        <m:sty m:val="i"/>
                      </m:rPr>
                      <m:t>I</m:t>
                    </m:r>
                  </m:e>
                </m:box>
              </m:sub>
            </m:sSub>
            <m:r>
              <m:rPr>
                <m:sty m:val="p"/>
              </m:rPr>
              <m:t>/</m:t>
            </m:r>
            <m:sSub>
              <m:e>
                <m:r>
                  <m:rPr>
                    <m:sty m:val="i"/>
                  </m:rPr>
                  <m:t>K</m:t>
                </m:r>
              </m:e>
              <m:sub>
                <m:box>
                  <m:e>
                    <m:r>
                      <m:rPr>
                        <m:sty m:val="i"/>
                      </m:rPr>
                      <m:t>t</m:t>
                    </m:r>
                    <m:r>
                      <m:rPr>
                        <m:sty m:val="i"/>
                      </m:rPr>
                      <m:t>a</m:t>
                    </m:r>
                    <m:r>
                      <m:rPr>
                        <m:sty m:val="i"/>
                      </m:rPr>
                      <m:t>n</m:t>
                    </m:r>
                    <m:r>
                      <m:rPr>
                        <m:sty m:val="i"/>
                      </m:rPr>
                      <m:t>g</m:t>
                    </m:r>
                  </m:e>
                </m:box>
              </m:sub>
            </m:sSub>
          </m:e>
        </m:box>
      </m:oMath>
      <w:r>
        <w:rPr>
          <w:rFonts w:ascii="Times New Roman" w:hAnsi="Times New Roman" w:eastAsia="MS Mincho"/>
          <w:b w:val="0"/>
          <w:i w:val="0"/>
          <w:sz w:val="20"/>
        </w:rPr>
        <w:t xml:space="preserve"> is the ratio of the intangible to tangible PIM stock evaluated at 2019.</w:t>
      </w:r>
    </w:p>
    <w:p>
      <w:pPr>
        <w:spacing w:after="120" w:line="360" w:lineRule="auto"/>
        <w:ind w:firstLine="480"/>
      </w:pPr>
      <w:r>
        <w:rPr>
          <w:rFonts w:ascii="Times New Roman" w:hAnsi="Times New Roman" w:eastAsia="MS Mincho"/>
          <w:b w:val="0"/>
          <w:i w:val="0"/>
          <w:sz w:val="20"/>
        </w:rPr>
        <w:t xml:space="preserve">Supplementary Figure 9 displays the results for the 21 countries with </w:t>
      </w:r>
      <m:oMath xmlns:mml="http://www.w3.org/1998/Math/MathML">
        <m:box>
          <m:e>
            <m:acc>
              <m:accPr>
                <m:chr m:val="^"/>
              </m:accPr>
              <m:e>
                <m:r>
                  <m:rPr>
                    <m:sty m:val="i"/>
                  </m:rPr>
                  <m:t>β</m:t>
                </m:r>
              </m:e>
            </m:acc>
          </m:e>
        </m:box>
      </m:oMath>
      <w:r>
        <w:rPr>
          <w:rFonts w:ascii="Times New Roman" w:hAnsi="Times New Roman" w:eastAsia="MS Mincho"/>
          <w:b w:val="0"/>
          <w:i w:val="0"/>
          <w:sz w:val="20"/>
        </w:rPr>
        <w:t xml:space="preserve"> &gt; 0. The Netherlands, France, and Norway show the largest adjustments (0.9–1.1 %), reflecting the combination of high </w:t>
      </w:r>
      <m:oMath xmlns:mml="http://www.w3.org/1998/Math/MathML">
        <m:box>
          <m:e>
            <m:acc>
              <m:accPr>
                <m:chr m:val="^"/>
              </m:accPr>
              <m:e>
                <m:r>
                  <m:rPr>
                    <m:sty m:val="i"/>
                  </m:rPr>
                  <m:t>β</m:t>
                </m:r>
              </m:e>
            </m:acc>
          </m:e>
        </m:box>
      </m:oMath>
      <w:r>
        <w:rPr>
          <w:rFonts w:ascii="Times New Roman" w:hAnsi="Times New Roman" w:eastAsia="MS Mincho"/>
          <w:b w:val="0"/>
          <w:i w:val="0"/>
          <w:sz w:val="20"/>
        </w:rPr>
        <w:t xml:space="preserve"> (0.34) and high R&amp;D-to-GDP ratios. For total national wealth (CWON total), the adjustments are 0.1–0.3 % because produced capital is only one component of total wealth. These are conservative lower bounds because the intangible stock is proxied by R&amp;D expenditure alone; a broader intangible measure (Corrado et al., 2005) including organisational capital, brand equity, and training would produce larger adjustments. The right-hand columns of Supplementary Table 4 therefore add 1.5×, 2.0× and 3.0× R&amp;D scalings to bracket how large the adjustment could become if the R&amp;D proxy is expanded to a full intangible-capital total.</w:t>
      </w:r>
    </w:p>
    <w:p>
      <w:pPr>
        <w:spacing w:after="120" w:line="360" w:lineRule="auto"/>
        <w:ind w:firstLine="480"/>
      </w:pPr>
      <w:r>
        <w:rPr>
          <w:rFonts w:ascii="Times New Roman" w:hAnsi="Times New Roman" w:eastAsia="MS Mincho"/>
          <w:b w:val="0"/>
          <w:i w:val="0"/>
          <w:sz w:val="20"/>
        </w:rPr>
        <w:t>The policy implication is concrete: countries that omit intangibles from their wealth accounts systematically understate the productive capital base on which future growth depends. This understatement is small in aggregate but concentrated in the most innovation-intensive economies, precisely where accurate measurement of the knowledge economy matters most.</w:t>
      </w:r>
    </w:p>
    <w:p>
      <w:pPr>
        <w:spacing w:before="360" w:after="120" w:line="360" w:lineRule="auto"/>
        <w:ind w:firstLine="0"/>
        <w:jc w:val="left"/>
      </w:pPr>
      <w:r>
        <w:rPr>
          <w:rFonts w:ascii="Times New Roman" w:hAnsi="Times New Roman" w:eastAsia="MS Mincho"/>
          <w:b/>
          <w:i w:val="0"/>
          <w:sz w:val="24"/>
        </w:rPr>
        <w:t>S.17 Future forecast scenarios (2020–2040) (Supplementary Figure 10 and Supplementary Table 8)</w:t>
      </w:r>
    </w:p>
    <w:p>
      <w:pPr>
        <w:spacing w:before="360" w:after="120"/>
        <w:jc w:val="center"/>
      </w:pPr>
      <w:r>
        <w:drawing>
          <wp:inline xmlns:a="http://schemas.openxmlformats.org/drawingml/2006/main" xmlns:pic="http://schemas.openxmlformats.org/drawingml/2006/picture">
            <wp:extent cx="5669280" cy="3774066"/>
            <wp:docPr id="10" name="Picture 10"/>
            <wp:cNvGraphicFramePr>
              <a:graphicFrameLocks noChangeAspect="1"/>
            </wp:cNvGraphicFramePr>
            <a:graphic>
              <a:graphicData uri="http://schemas.openxmlformats.org/drawingml/2006/picture">
                <pic:pic>
                  <pic:nvPicPr>
                    <pic:cNvPr id="0" name="fig15_future_scenarios_en.png"/>
                    <pic:cNvPicPr/>
                  </pic:nvPicPr>
                  <pic:blipFill>
                    <a:blip r:embed="rId18"/>
                    <a:stretch>
                      <a:fillRect/>
                    </a:stretch>
                  </pic:blipFill>
                  <pic:spPr>
                    <a:xfrm>
                      <a:off x="0" y="0"/>
                      <a:ext cx="5669280" cy="3774066"/>
                    </a:xfrm>
                    <a:prstGeom prst="rect"/>
                  </pic:spPr>
                </pic:pic>
              </a:graphicData>
            </a:graphic>
          </wp:inline>
        </w:drawing>
      </w:r>
    </w:p>
    <w:p>
      <w:pPr>
        <w:spacing w:after="240"/>
        <w:jc w:val="center"/>
      </w:pPr>
      <w:r>
        <w:rPr>
          <w:rFonts w:ascii="Times New Roman" w:hAnsi="Times New Roman" w:eastAsia="MS Mincho"/>
          <w:b/>
          <w:i w:val="0"/>
          <w:sz w:val="20"/>
        </w:rPr>
        <w:t xml:space="preserve">Supplementary Fig. 10. </w:t>
      </w:r>
      <w:r>
        <w:rPr>
          <w:rFonts w:ascii="Times New Roman" w:hAnsi="Times New Roman" w:eastAsia="MS Mincho"/>
          <w:b w:val="0"/>
          <w:i w:val="0"/>
          <w:sz w:val="20"/>
        </w:rPr>
        <w:t>2020–2040 GDP-level scenarios (2019=100) for selected countries, including M4 baseline, level-only TFP (2019 held fixed), AI surge, and fiscal-stimulus variants.</w:t>
      </w:r>
    </w:p>
    <w:p>
      <w:pPr>
        <w:spacing w:after="120" w:line="360" w:lineRule="auto"/>
        <w:ind w:firstLine="480"/>
      </w:pPr>
      <w:r>
        <w:rPr>
          <w:rFonts w:ascii="Times New Roman" w:hAnsi="Times New Roman" w:eastAsia="MS Mincho"/>
          <w:b w:val="0"/>
          <w:i w:val="0"/>
          <w:sz w:val="20"/>
        </w:rPr>
        <w:t>To illustrate how the measurement corrections propagate into forward-looking output paths, we simulate mechanical projections for all 39 sample countries plus selected economies that span advanced and emerging-market cases. These are not economic forecasts: they hold policy, demographics, terms of trade, and technology diffusion fixed at historical patterns and extrapolate the estimated accounting corrections. For countries whose 2010–2019 investment or R&amp;D series are too short or contain non-positive values to estimate a log growth rate, we apply a conservative 2 % per annum fallback (the historical long-run growth rate of real investment in the sample). This fallback is documented and flagged in Supplementary Table 8.</w:t>
      </w:r>
    </w:p>
    <w:p>
      <w:pPr>
        <w:spacing w:after="120" w:line="360" w:lineRule="auto"/>
        <w:ind w:firstLine="480"/>
      </w:pPr>
      <w:r>
        <w:rPr>
          <w:rFonts w:ascii="Times New Roman" w:hAnsi="Times New Roman" w:eastAsia="MS Mincho"/>
          <w:b w:val="0"/>
          <w:i w:val="0"/>
          <w:sz w:val="20"/>
        </w:rPr>
        <w:t xml:space="preserve">Supplementary Figure 10 highlights six representative economies: the United States, Japan, Germany, the Republic of Korea, China and Colombia, covering high-R&amp;D advanced economies, a resource-intensive emerging market and a large manufacturing exporter. Under the M2 trend-continuation scenario, GDP in 2040 is slightly above the M0 baseline for most economies because the time-varying lag slows measured capital accumulation and raises measured TFP; the M2 stabilisation and M4 baseline trajectories are close to the M0 baseline. The M4 AI/digital investment surge scenario adds an extra annual growth increment to R&amp;D-driven intangible investment; in R&amp;D-intensive economies this raises the 2040 GDP index relative to the M4 baseline. The M4 TFP stagnation scenario holds TFP flat at its 2019 level and shows the largest divergence from baseline growth because it removes the assumed continuation of trend TFP growth. The M4 TFP level-only scenario instead freezes the 2019 TFP </w:t>
      </w:r>
      <w:r>
        <w:rPr>
          <w:rFonts w:ascii="Times New Roman" w:hAnsi="Times New Roman" w:eastAsia="MS Mincho"/>
          <w:b w:val="0"/>
          <w:i/>
          <w:sz w:val="20"/>
        </w:rPr>
        <w:t>level</w:t>
      </w:r>
      <w:r>
        <w:rPr>
          <w:rFonts w:ascii="Times New Roman" w:hAnsi="Times New Roman" w:eastAsia="MS Mincho"/>
          <w:b w:val="0"/>
          <w:i w:val="0"/>
          <w:sz w:val="20"/>
        </w:rPr>
        <w:t xml:space="preserve"> rather than the 2010–2019 trend, separating the pure level effect of the capital-stock correction from trend extrapolation. Finally, the M4 fiscal-stimulus scenario adds public investment equal to 2 % of 2019 GDP each year, growing with the M4-corrected output path; this links the measurement correction directly to a stylised fiscal-capacity calculation and shows how much additional output a sustained public-investment programme could generate once the capital-stock base is measured consistently. All of the AI/digital, fiscal-stimulus and TFP level-only scenarios are stylised projections, not economic forecasts or policy prescriptions; they isolate the sensitivity of measured output paths to alternative accounting assumptions and hold policy, demographics, terms of trade and technology diffusion fixed.</w:t>
      </w:r>
    </w:p>
    <w:p>
      <w:pPr>
        <w:spacing w:after="120" w:line="360" w:lineRule="auto"/>
        <w:ind w:firstLine="480"/>
      </w:pPr>
      <w:r>
        <w:rPr>
          <w:rFonts w:ascii="Times New Roman" w:hAnsi="Times New Roman" w:eastAsia="MS Mincho"/>
          <w:b w:val="0"/>
          <w:i w:val="0"/>
          <w:sz w:val="20"/>
        </w:rPr>
        <w:t>Supplementary Table 8 reports the 2030 and 2040 indices for all countries and for all five scenario variants. The policy message is that measurement-sensitive variables — the capital-stock level, the TFP trend and the treatment of intangible investment — are exactly the inputs that enter fiscal-sustainability and monetary-policy reaction functions. Correcting them therefore changes the baseline against which policy is calibrated.</w:t>
      </w:r>
    </w:p>
    <w:p>
      <w:pPr>
        <w:spacing w:before="360" w:after="120" w:line="360" w:lineRule="auto"/>
        <w:ind w:firstLine="0"/>
        <w:jc w:val="left"/>
      </w:pPr>
      <w:r>
        <w:rPr>
          <w:rFonts w:ascii="Times New Roman" w:hAnsi="Times New Roman" w:eastAsia="MS Mincho"/>
          <w:b/>
          <w:i w:val="0"/>
          <w:sz w:val="24"/>
        </w:rPr>
        <w:t>S.18 Cross-country clusters by (μ, β) and asset composition (Supplementary Figure 11 and Table 9)</w:t>
      </w:r>
    </w:p>
    <w:p>
      <w:pPr>
        <w:spacing w:before="360" w:after="120"/>
        <w:jc w:val="center"/>
      </w:pPr>
      <w:r>
        <w:drawing>
          <wp:inline xmlns:a="http://schemas.openxmlformats.org/drawingml/2006/main" xmlns:pic="http://schemas.openxmlformats.org/drawingml/2006/picture">
            <wp:extent cx="5669280" cy="4386715"/>
            <wp:docPr id="11" name="Picture 11"/>
            <wp:cNvGraphicFramePr>
              <a:graphicFrameLocks noChangeAspect="1"/>
            </wp:cNvGraphicFramePr>
            <a:graphic>
              <a:graphicData uri="http://schemas.openxmlformats.org/drawingml/2006/picture">
                <pic:pic>
                  <pic:nvPicPr>
                    <pic:cNvPr id="0" name="fig16_country_clusters_en.png"/>
                    <pic:cNvPicPr/>
                  </pic:nvPicPr>
                  <pic:blipFill>
                    <a:blip r:embed="rId19"/>
                    <a:stretch>
                      <a:fillRect/>
                    </a:stretch>
                  </pic:blipFill>
                  <pic:spPr>
                    <a:xfrm>
                      <a:off x="0" y="0"/>
                      <a:ext cx="5669280" cy="4386715"/>
                    </a:xfrm>
                    <a:prstGeom prst="rect"/>
                  </pic:spPr>
                </pic:pic>
              </a:graphicData>
            </a:graphic>
          </wp:inline>
        </w:drawing>
      </w:r>
    </w:p>
    <w:p>
      <w:pPr>
        <w:spacing w:after="240"/>
        <w:jc w:val="center"/>
      </w:pPr>
      <w:r>
        <w:rPr>
          <w:rFonts w:ascii="Times New Roman" w:hAnsi="Times New Roman" w:eastAsia="MS Mincho"/>
          <w:b/>
          <w:i w:val="0"/>
          <w:sz w:val="20"/>
        </w:rPr>
        <w:t xml:space="preserve">Supplementary Fig. 11. </w:t>
      </w:r>
      <w:r>
        <w:rPr>
          <w:rFonts w:ascii="Times New Roman" w:hAnsi="Times New Roman" w:eastAsia="MS Mincho"/>
          <w:b w:val="0"/>
          <w:i w:val="0"/>
          <w:sz w:val="20"/>
        </w:rPr>
        <w:t>Country clusters by joint-identified (μ̂, β̂) and asset composition; silhouette and bootstrap-stability metrics support the k=3 partition (Table 10b).</w:t>
      </w:r>
    </w:p>
    <w:p>
      <w:pPr>
        <w:spacing w:after="120" w:line="360" w:lineRule="auto"/>
        <w:ind w:firstLine="480"/>
      </w:pPr>
      <w:r>
        <w:rPr>
          <w:rFonts w:ascii="Times New Roman" w:hAnsi="Times New Roman" w:eastAsia="MS Mincho"/>
          <w:b w:val="0"/>
          <w:i w:val="0"/>
          <w:sz w:val="20"/>
        </w:rPr>
        <w:t>Clustering countries on the joint-identified (</w:t>
      </w:r>
      <m:oMath xmlns:mml="http://www.w3.org/1998/Math/MathML">
        <m:box>
          <m:e>
            <m:r>
              <m:rPr>
                <m:sty m:val="i"/>
              </m:rPr>
              <m:t>μ</m:t>
            </m:r>
          </m:e>
        </m:box>
      </m:oMath>
      <w:r>
        <w:rPr>
          <w:rFonts w:ascii="Times New Roman" w:hAnsi="Times New Roman" w:eastAsia="MS Mincho"/>
          <w:b w:val="0"/>
          <w:i w:val="0"/>
          <w:sz w:val="20"/>
        </w:rPr>
        <w:t xml:space="preserve">, </w:t>
      </w:r>
      <m:oMath xmlns:mml="http://www.w3.org/1998/Math/MathML">
        <m:box>
          <m:e>
            <m:r>
              <m:rPr>
                <m:sty m:val="i"/>
              </m:rPr>
              <m:t>β</m:t>
            </m:r>
          </m:e>
        </m:box>
      </m:oMath>
      <w:r>
        <w:rPr>
          <w:rFonts w:ascii="Times New Roman" w:hAnsi="Times New Roman" w:eastAsia="MS Mincho"/>
          <w:b w:val="0"/>
          <w:i w:val="0"/>
          <w:sz w:val="20"/>
        </w:rPr>
        <w:t xml:space="preserve">), R&amp;D intensity, and asset-composition shares yields three groups. The first group contains most Continental European and resource economies with low-to-moderate </w:t>
      </w:r>
      <m:oMath xmlns:mml="http://www.w3.org/1998/Math/MathML">
        <m:box>
          <m:e>
            <m:r>
              <m:rPr>
                <m:sty m:val="i"/>
              </m:rPr>
              <m:t>μ</m:t>
            </m:r>
          </m:e>
        </m:box>
      </m:oMath>
      <w:r>
        <w:rPr>
          <w:rFonts w:ascii="Times New Roman" w:hAnsi="Times New Roman" w:eastAsia="MS Mincho"/>
          <w:b w:val="0"/>
          <w:i w:val="0"/>
          <w:sz w:val="20"/>
        </w:rPr>
        <w:t xml:space="preserve"> and low </w:t>
      </w:r>
      <m:oMath xmlns:mml="http://www.w3.org/1998/Math/MathML">
        <m:box>
          <m:e>
            <m:r>
              <m:rPr>
                <m:sty m:val="i"/>
              </m:rPr>
              <m:t>β</m:t>
            </m:r>
            <m:r>
              <m:rPr>
                <m:sty m:val="p"/>
              </m:rPr>
              <m:t>.</m:t>
            </m:r>
          </m:e>
        </m:box>
      </m:oMath>
      <w:r>
        <w:rPr>
          <w:rFonts w:ascii="Times New Roman" w:hAnsi="Times New Roman" w:eastAsia="MS Mincho"/>
          <w:b w:val="0"/>
          <w:i w:val="0"/>
          <w:sz w:val="20"/>
        </w:rPr>
        <w:t xml:space="preserve"> The second group contains the high-R&amp;D, ICT-intensive economies, including the United States, Republic of Korea, Sweden, and Israel, with higher </w:t>
      </w:r>
      <m:oMath xmlns:mml="http://www.w3.org/1998/Math/MathML">
        <m:box>
          <m:e>
            <m:r>
              <m:rPr>
                <m:sty m:val="i"/>
              </m:rPr>
              <m:t>μ</m:t>
            </m:r>
          </m:e>
        </m:box>
      </m:oMath>
      <w:r>
        <w:rPr>
          <w:rFonts w:ascii="Times New Roman" w:hAnsi="Times New Roman" w:eastAsia="MS Mincho"/>
          <w:b w:val="0"/>
          <w:i w:val="0"/>
          <w:sz w:val="20"/>
        </w:rPr>
        <w:t xml:space="preserve"> and a larger share of intellectual-property investment. The third group is a small set of economies with very high estimated </w:t>
      </w:r>
      <m:oMath xmlns:mml="http://www.w3.org/1998/Math/MathML">
        <m:box>
          <m:e>
            <m:r>
              <m:rPr>
                <m:sty m:val="i"/>
              </m:rPr>
              <m:t>μ</m:t>
            </m:r>
          </m:e>
        </m:box>
      </m:oMath>
      <w:r>
        <w:rPr>
          <w:rFonts w:ascii="Times New Roman" w:hAnsi="Times New Roman" w:eastAsia="MS Mincho"/>
          <w:b w:val="0"/>
          <w:i w:val="0"/>
          <w:sz w:val="20"/>
        </w:rPr>
        <w:t xml:space="preserve"> and high </w:t>
      </w:r>
      <m:oMath xmlns:mml="http://www.w3.org/1998/Math/MathML">
        <m:box>
          <m:e>
            <m:r>
              <m:rPr>
                <m:sty m:val="i"/>
              </m:rPr>
              <m:t>β</m:t>
            </m:r>
            <m:r>
              <m:rPr>
                <m:sty m:val="p"/>
              </m:rPr>
              <m:t>.</m:t>
            </m:r>
          </m:e>
        </m:box>
      </m:oMath>
      <w:r>
        <w:rPr>
          <w:rFonts w:ascii="Times New Roman" w:hAnsi="Times New Roman" w:eastAsia="MS Mincho"/>
          <w:b w:val="0"/>
          <w:i w:val="0"/>
          <w:sz w:val="20"/>
        </w:rPr>
        <w:t xml:space="preserve"> These clusters are visible in Supplementary Figure 11 and quantified in Supplementary Table 9. We selected k = 3 after comparing candidate solutions k = 2, …, 6 on silhouette, inertia and bootstrap stability; the three-group partition was the most parsimonious solution that remained economically interpretable (high-ICT intangible-intensive, manufacturing-export oriented, and resource/land-intensive). Supplementary Tables 14 and 15 report the silhouette and bootstrap validation metrics and the per-country cluster assignments that support the k-means partition.</w:t>
      </w:r>
    </w:p>
    <w:p>
      <w:pPr>
        <w:spacing w:before="360" w:after="120" w:line="360" w:lineRule="auto"/>
        <w:ind w:firstLine="0"/>
        <w:jc w:val="left"/>
      </w:pPr>
      <w:r>
        <w:rPr>
          <w:rFonts w:ascii="Times New Roman" w:hAnsi="Times New Roman" w:eastAsia="MS Mincho"/>
          <w:b/>
          <w:i w:val="0"/>
          <w:sz w:val="24"/>
        </w:rPr>
        <w:t>S.19 Time-varying depreciation robustness</w:t>
      </w:r>
    </w:p>
    <w:p>
      <w:pPr>
        <w:spacing w:after="120" w:line="360" w:lineRule="auto"/>
        <w:ind w:firstLine="480"/>
      </w:pPr>
      <w:r>
        <w:rPr>
          <w:rFonts w:ascii="Times New Roman" w:hAnsi="Times New Roman" w:eastAsia="MS Mincho"/>
          <w:b w:val="0"/>
          <w:i w:val="0"/>
          <w:sz w:val="20"/>
        </w:rPr>
        <w:t>Supplementary Figure 12 displays the median estimated lag under each time-varying depreciation schedule, and Supplementary Table 10 reports the country-level median estimates.</w:t>
      </w:r>
    </w:p>
    <w:p>
      <w:pPr>
        <w:spacing w:before="360" w:after="120"/>
        <w:jc w:val="center"/>
      </w:pPr>
      <w:r>
        <w:drawing>
          <wp:inline xmlns:a="http://schemas.openxmlformats.org/drawingml/2006/main" xmlns:pic="http://schemas.openxmlformats.org/drawingml/2006/picture">
            <wp:extent cx="5669280" cy="2364854"/>
            <wp:docPr id="12" name="Picture 12"/>
            <wp:cNvGraphicFramePr>
              <a:graphicFrameLocks noChangeAspect="1"/>
            </wp:cNvGraphicFramePr>
            <a:graphic>
              <a:graphicData uri="http://schemas.openxmlformats.org/drawingml/2006/picture">
                <pic:pic>
                  <pic:nvPicPr>
                    <pic:cNvPr id="0" name="fig17_delta_timevarying_en.png"/>
                    <pic:cNvPicPr/>
                  </pic:nvPicPr>
                  <pic:blipFill>
                    <a:blip r:embed="rId20"/>
                    <a:stretch>
                      <a:fillRect/>
                    </a:stretch>
                  </pic:blipFill>
                  <pic:spPr>
                    <a:xfrm>
                      <a:off x="0" y="0"/>
                      <a:ext cx="5669280" cy="2364854"/>
                    </a:xfrm>
                    <a:prstGeom prst="rect"/>
                  </pic:spPr>
                </pic:pic>
              </a:graphicData>
            </a:graphic>
          </wp:inline>
        </w:drawing>
      </w:r>
    </w:p>
    <w:p>
      <w:pPr>
        <w:spacing w:after="240"/>
        <w:jc w:val="center"/>
      </w:pPr>
      <w:r>
        <w:rPr>
          <w:rFonts w:ascii="Times New Roman" w:hAnsi="Times New Roman" w:eastAsia="MS Mincho"/>
          <w:b/>
          <w:i w:val="0"/>
          <w:sz w:val="20"/>
        </w:rPr>
        <w:t xml:space="preserve">Supplementary Fig. 12. </w:t>
      </w:r>
      <w:r>
        <w:rPr>
          <w:rFonts w:ascii="Times New Roman" w:hAnsi="Times New Roman" w:eastAsia="MS Mincho"/>
          <w:b w:val="0"/>
          <w:i w:val="0"/>
          <w:sz w:val="20"/>
        </w:rPr>
        <w:t>Time-varying depreciation robustness: median estimated lag.</w:t>
      </w:r>
    </w:p>
    <w:p>
      <w:pPr>
        <w:spacing w:after="120" w:line="360" w:lineRule="auto"/>
        <w:ind w:firstLine="480"/>
      </w:pPr>
      <w:r>
        <w:rPr>
          <w:rFonts w:ascii="Times New Roman" w:hAnsi="Times New Roman" w:eastAsia="MS Mincho"/>
          <w:b w:val="0"/>
          <w:i w:val="0"/>
          <w:sz w:val="20"/>
        </w:rPr>
        <w:t xml:space="preserve">Supplementary Section S.13 showed that a uniform ±20 percent perturbation of </w:t>
      </w:r>
      <m:oMath xmlns:mml="http://www.w3.org/1998/Math/MathML">
        <m:box>
          <m:e>
            <m:r>
              <m:rPr>
                <m:sty m:val="i"/>
              </m:rPr>
              <m:t>δ</m:t>
            </m:r>
          </m:e>
        </m:box>
      </m:oMath>
      <w:r>
        <w:rPr>
          <w:rFonts w:ascii="Times New Roman" w:hAnsi="Times New Roman" w:eastAsia="MS Mincho"/>
          <w:b w:val="0"/>
          <w:i w:val="0"/>
          <w:sz w:val="20"/>
        </w:rPr>
        <w:t xml:space="preserve"> leaves the constant-lag estimate stable. We extend this to six explicit time-varying depreciation schedules that let the depreciation rate rise or fall with the share of short-lived ICT assets. The median estimated lag across countries is largely insensitive to these perturbations; the largest response appears when the depreciation rate is assumed to rise with the ICT share. The result supports the interpretation that the estimated </w:t>
      </w:r>
      <m:oMath xmlns:mml="http://www.w3.org/1998/Math/MathML">
        <m:box>
          <m:e>
            <m:r>
              <m:rPr>
                <m:sty m:val="i"/>
              </m:rPr>
              <m:t>μ</m:t>
            </m:r>
            <m:r>
              <m:rPr>
                <m:sty m:val="p"/>
              </m:rPr>
              <m:t>(</m:t>
            </m:r>
            <m:r>
              <m:rPr>
                <m:sty m:val="i"/>
              </m:rPr>
              <m:t>t</m:t>
            </m:r>
            <m:r>
              <m:rPr>
                <m:sty m:val="p"/>
              </m:rPr>
              <m:t>)</m:t>
            </m:r>
          </m:e>
        </m:box>
      </m:oMath>
      <w:r>
        <w:rPr>
          <w:rFonts w:ascii="Times New Roman" w:hAnsi="Times New Roman" w:eastAsia="MS Mincho"/>
          <w:b w:val="0"/>
          <w:i w:val="0"/>
          <w:sz w:val="20"/>
        </w:rPr>
        <w:t xml:space="preserve"> is not merely an alias for misspecified depreciation.</w:t>
      </w:r>
    </w:p>
    <w:p>
      <w:pPr>
        <w:spacing w:before="360" w:after="120" w:line="360" w:lineRule="auto"/>
        <w:ind w:firstLine="0"/>
        <w:jc w:val="left"/>
      </w:pPr>
      <w:r>
        <w:rPr>
          <w:rFonts w:ascii="Times New Roman" w:hAnsi="Times New Roman" w:eastAsia="MS Mincho"/>
          <w:b/>
          <w:i w:val="0"/>
          <w:sz w:val="24"/>
        </w:rPr>
        <w:t>S.20 Monte Carlo identification sharpness (Supplementary Figure 13 and Supplementary Table 11)</w:t>
      </w:r>
    </w:p>
    <w:p>
      <w:pPr>
        <w:spacing w:before="360" w:after="120"/>
        <w:jc w:val="center"/>
      </w:pPr>
      <w:r>
        <w:drawing>
          <wp:inline xmlns:a="http://schemas.openxmlformats.org/drawingml/2006/main" xmlns:pic="http://schemas.openxmlformats.org/drawingml/2006/picture">
            <wp:extent cx="5669280" cy="2573303"/>
            <wp:docPr id="13" name="Picture 13"/>
            <wp:cNvGraphicFramePr>
              <a:graphicFrameLocks noChangeAspect="1"/>
            </wp:cNvGraphicFramePr>
            <a:graphic>
              <a:graphicData uri="http://schemas.openxmlformats.org/drawingml/2006/picture">
                <pic:pic>
                  <pic:nvPicPr>
                    <pic:cNvPr id="0" name="fig18_monte_carlo_en.png"/>
                    <pic:cNvPicPr/>
                  </pic:nvPicPr>
                  <pic:blipFill>
                    <a:blip r:embed="rId21"/>
                    <a:stretch>
                      <a:fillRect/>
                    </a:stretch>
                  </pic:blipFill>
                  <pic:spPr>
                    <a:xfrm>
                      <a:off x="0" y="0"/>
                      <a:ext cx="5669280" cy="2573303"/>
                    </a:xfrm>
                    <a:prstGeom prst="rect"/>
                  </pic:spPr>
                </pic:pic>
              </a:graphicData>
            </a:graphic>
          </wp:inline>
        </w:drawing>
      </w:r>
    </w:p>
    <w:p>
      <w:pPr>
        <w:spacing w:after="240"/>
        <w:jc w:val="center"/>
      </w:pPr>
      <w:r>
        <w:rPr>
          <w:rFonts w:ascii="Times New Roman" w:hAnsi="Times New Roman" w:eastAsia="MS Mincho"/>
          <w:b/>
          <w:i w:val="0"/>
          <w:sz w:val="20"/>
        </w:rPr>
        <w:t xml:space="preserve">Supplementary Fig. 13. </w:t>
      </w:r>
      <w:r>
        <w:rPr>
          <w:rFonts w:ascii="Times New Roman" w:hAnsi="Times New Roman" w:eastAsia="MS Mincho"/>
          <w:b w:val="0"/>
          <w:i w:val="0"/>
          <w:sz w:val="20"/>
        </w:rPr>
        <w:t>Monte Carlo identification sharpness for four calibrated economies (United States, Republic of Korea, France, Colombia). Error bars show approximate 95 % confidence intervals for the mean RMSE across parameter cells.</w:t>
      </w:r>
    </w:p>
    <w:p>
      <w:pPr>
        <w:spacing w:after="120" w:line="360" w:lineRule="auto"/>
        <w:ind w:firstLine="480"/>
      </w:pPr>
      <w:r>
        <w:rPr>
          <w:rFonts w:ascii="Times New Roman" w:hAnsi="Times New Roman" w:eastAsia="MS Mincho"/>
          <w:b w:val="0"/>
          <w:i w:val="0"/>
          <w:sz w:val="20"/>
        </w:rPr>
        <w:t xml:space="preserve">To assess how well the joint loss identifies </w:t>
      </w:r>
      <m:oMath xmlns:mml="http://www.w3.org/1998/Math/MathML">
        <m:box>
          <m:e>
            <m:r>
              <m:rPr>
                <m:sty m:val="i"/>
              </m:rPr>
              <m:t>μ</m:t>
            </m:r>
          </m:e>
        </m:box>
      </m:oMath>
      <w:r>
        <w:rPr>
          <w:rFonts w:ascii="Times New Roman" w:hAnsi="Times New Roman" w:eastAsia="MS Mincho"/>
          <w:b w:val="0"/>
          <w:i w:val="0"/>
          <w:sz w:val="20"/>
        </w:rPr>
        <w:t xml:space="preserve"> and </w:t>
      </w:r>
      <m:oMath xmlns:mml="http://www.w3.org/1998/Math/MathML">
        <m:box>
          <m:e>
            <m:r>
              <m:rPr>
                <m:sty m:val="i"/>
              </m:rPr>
              <m:t>β</m:t>
            </m:r>
          </m:e>
        </m:box>
      </m:oMath>
      <w:r>
        <w:rPr>
          <w:rFonts w:ascii="Times New Roman" w:hAnsi="Times New Roman" w:eastAsia="MS Mincho"/>
          <w:b w:val="0"/>
          <w:i w:val="0"/>
          <w:sz w:val="20"/>
        </w:rPr>
        <w:t xml:space="preserve"> from finite samples, we simulate economies calibrated to four distinct economies: the United States, the Republic of Korea, France and Colombia. These calibrations span high-R&amp;D/ICT-intensive, manufacturing-export and resource-intensive profiles, and therefore test whether identification sharpness is driven by a single parameter configuration. We vary the sample length (T = 30, 40, 50 years) and the variance of the output shock </w:t>
      </w:r>
      <m:oMath xmlns:mml="http://www.w3.org/1998/Math/MathML">
        <m:box>
          <m:e>
            <m:r>
              <m:rPr>
                <m:sty m:val="i"/>
              </m:rPr>
              <m:t>σ</m:t>
            </m:r>
            <m:r>
              <m:rPr>
                <m:sty m:val="p"/>
              </m:rPr>
              <m:t>.</m:t>
            </m:r>
          </m:e>
        </m:box>
      </m:oMath>
      <w:r>
        <w:rPr>
          <w:rFonts w:ascii="Times New Roman" w:hAnsi="Times New Roman" w:eastAsia="MS Mincho"/>
          <w:b w:val="0"/>
          <w:i w:val="0"/>
          <w:sz w:val="20"/>
        </w:rPr>
        <w:t xml:space="preserve"> The values T = 30, 40 and 50 cover the range observed for most countries in our sample: many OECD and middle-income series span 40–55 annual observations, so T = 50 is close to the effective upper bound for the cross-section while remaining short enough to test identification in emerging-market series. The RMSE of the joint-identified </w:t>
      </w:r>
      <m:oMath xmlns:mml="http://www.w3.org/1998/Math/MathML">
        <m:box>
          <m:e>
            <m:r>
              <m:rPr>
                <m:sty m:val="i"/>
              </m:rPr>
              <m:t>μ</m:t>
            </m:r>
          </m:e>
        </m:box>
      </m:oMath>
      <w:r>
        <w:rPr>
          <w:rFonts w:ascii="Times New Roman" w:hAnsi="Times New Roman" w:eastAsia="MS Mincho"/>
          <w:b w:val="0"/>
          <w:i w:val="0"/>
          <w:sz w:val="20"/>
        </w:rPr>
        <w:t xml:space="preserve"> and </w:t>
      </w:r>
      <m:oMath xmlns:mml="http://www.w3.org/1998/Math/MathML">
        <m:box>
          <m:e>
            <m:r>
              <m:rPr>
                <m:sty m:val="i"/>
              </m:rPr>
              <m:t>β</m:t>
            </m:r>
          </m:e>
        </m:box>
      </m:oMath>
      <w:r>
        <w:rPr>
          <w:rFonts w:ascii="Times New Roman" w:hAnsi="Times New Roman" w:eastAsia="MS Mincho"/>
          <w:b w:val="0"/>
          <w:i w:val="0"/>
          <w:sz w:val="20"/>
        </w:rPr>
        <w:t xml:space="preserve"> declines with T and rises with </w:t>
      </w:r>
      <m:oMath xmlns:mml="http://www.w3.org/1998/Math/MathML">
        <m:box>
          <m:e>
            <m:r>
              <m:rPr>
                <m:sty m:val="i"/>
              </m:rPr>
              <m:t>σ</m:t>
            </m:r>
          </m:e>
        </m:box>
      </m:oMath>
      <w:r>
        <w:rPr>
          <w:rFonts w:ascii="Times New Roman" w:hAnsi="Times New Roman" w:eastAsia="MS Mincho"/>
          <w:b w:val="0"/>
          <w:i w:val="0"/>
          <w:sz w:val="20"/>
        </w:rPr>
        <w:t>, but even with moderate output noise the RMSE remains below the grid resolution for sample lengths typical of OECD national accounts. This confirms that the joint identification is statistically sharp in the empirically relevant region, and that the conclusion is not an artefact of the United States calibration.</w:t>
      </w:r>
    </w:p>
    <w:p>
      <w:pPr>
        <w:spacing w:before="360" w:after="120" w:line="360" w:lineRule="auto"/>
        <w:ind w:firstLine="0"/>
        <w:jc w:val="left"/>
      </w:pPr>
      <w:r>
        <w:rPr>
          <w:rFonts w:ascii="Times New Roman" w:hAnsi="Times New Roman" w:eastAsia="MS Mincho"/>
          <w:b/>
          <w:i w:val="0"/>
          <w:sz w:val="24"/>
        </w:rPr>
        <w:t>S.21 Cross-country γ_price summary (Supplementary Table 12)</w:t>
      </w:r>
    </w:p>
    <w:p>
      <w:pPr>
        <w:spacing w:after="120" w:line="360" w:lineRule="auto"/>
        <w:ind w:firstLine="480"/>
      </w:pPr>
      <w:r>
        <w:rPr>
          <w:rFonts w:ascii="Times New Roman" w:hAnsi="Times New Roman" w:eastAsia="MS Mincho"/>
          <w:b w:val="0"/>
          <w:i w:val="0"/>
          <w:sz w:val="20"/>
        </w:rPr>
        <w:t xml:space="preserve">Supplementary Table 12 extends the Japan </w:t>
      </w:r>
      <m:oMath xmlns:mml="http://www.w3.org/1998/Math/MathML">
        <m:box>
          <m:e>
            <m:sSub>
              <m:e>
                <m:r>
                  <m:rPr>
                    <m:sty m:val="i"/>
                  </m:rPr>
                  <m:t>γ</m:t>
                </m:r>
              </m:e>
              <m:sub>
                <m:box>
                  <m:e>
                    <m:r>
                      <m:rPr>
                        <m:sty m:val="i"/>
                      </m:rPr>
                      <m:t>p</m:t>
                    </m:r>
                    <m:r>
                      <m:rPr>
                        <m:sty m:val="i"/>
                      </m:rPr>
                      <m:t>r</m:t>
                    </m:r>
                    <m:r>
                      <m:rPr>
                        <m:sty m:val="i"/>
                      </m:rPr>
                      <m:t>i</m:t>
                    </m:r>
                    <m:r>
                      <m:rPr>
                        <m:sty m:val="i"/>
                      </m:rPr>
                      <m:t>c</m:t>
                    </m:r>
                    <m:r>
                      <m:rPr>
                        <m:sty m:val="i"/>
                      </m:rPr>
                      <m:t>e</m:t>
                    </m:r>
                  </m:e>
                </m:box>
              </m:sub>
            </m:sSub>
          </m:e>
        </m:box>
      </m:oMath>
      <w:r>
        <w:rPr>
          <w:rFonts w:ascii="Times New Roman" w:hAnsi="Times New Roman" w:eastAsia="MS Mincho"/>
          <w:b w:val="0"/>
          <w:i w:val="0"/>
          <w:sz w:val="20"/>
        </w:rPr>
        <w:t xml:space="preserve"> case study of S.9–S.10 to all 39 countries. For each country we fit a line to the PIM–CWON log-ratio as a function of </w:t>
      </w:r>
      <m:oMath xmlns:mml="http://www.w3.org/1998/Math/MathML">
        <m:box>
          <m:e>
            <m:sSub>
              <m:e>
                <m:r>
                  <m:rPr>
                    <m:sty m:val="i"/>
                  </m:rPr>
                  <m:t>γ</m:t>
                </m:r>
              </m:e>
              <m:sub>
                <m:box>
                  <m:e>
                    <m:r>
                      <m:rPr>
                        <m:sty m:val="i"/>
                      </m:rPr>
                      <m:t>p</m:t>
                    </m:r>
                    <m:r>
                      <m:rPr>
                        <m:sty m:val="i"/>
                      </m:rPr>
                      <m:t>r</m:t>
                    </m:r>
                    <m:r>
                      <m:rPr>
                        <m:sty m:val="i"/>
                      </m:rPr>
                      <m:t>i</m:t>
                    </m:r>
                    <m:r>
                      <m:rPr>
                        <m:sty m:val="i"/>
                      </m:rPr>
                      <m:t>c</m:t>
                    </m:r>
                    <m:r>
                      <m:rPr>
                        <m:sty m:val="i"/>
                      </m:rPr>
                      <m:t>e</m:t>
                    </m:r>
                  </m:e>
                </m:box>
              </m:sub>
            </m:sSub>
          </m:e>
        </m:box>
      </m:oMath>
      <w:r>
        <w:rPr>
          <w:rFonts w:ascii="Times New Roman" w:hAnsi="Times New Roman" w:eastAsia="MS Mincho"/>
          <w:b w:val="0"/>
          <w:i w:val="0"/>
          <w:sz w:val="20"/>
        </w:rPr>
        <w:t xml:space="preserve"> ∈ [−0.04, +0.04] and report the zero-crossing price-revaluation rate, together with a flag indicating whether that root lies inside the explored interval. No country shows an in-range zero; the implied price-revaluation rates that would close the PIM–CWON gap are all outside the ±4 % per year window. This reinforces the interpretation that the residual gap is not a simple price-revaluation artefact at conventional magnitudes, except in the Japanese case where the historical land-price deflation makes a 2 % per year revaluation economically plausible.</w:t>
      </w:r>
    </w:p>
    <w:p>
      <w:pPr>
        <w:spacing w:before="360" w:after="120" w:line="360" w:lineRule="auto"/>
        <w:ind w:firstLine="0"/>
        <w:jc w:val="left"/>
      </w:pPr>
      <w:r>
        <w:rPr>
          <w:rFonts w:ascii="Times New Roman" w:hAnsi="Times New Roman" w:eastAsia="MS Mincho"/>
          <w:b/>
          <w:i w:val="0"/>
          <w:sz w:val="24"/>
        </w:rPr>
        <w:t>S.22 Historical-episode selection and leave-one-out robustness (Supplementary Table 13)</w:t>
      </w:r>
    </w:p>
    <w:p>
      <w:pPr>
        <w:spacing w:before="360" w:after="120"/>
      </w:pPr>
      <w:r>
        <w:rPr>
          <w:rFonts w:ascii="Times New Roman" w:hAnsi="Times New Roman" w:eastAsia="MS Mincho"/>
          <w:b/>
          <w:i w:val="0"/>
          <w:sz w:val="20"/>
        </w:rPr>
        <w:t>Supplementary Table 1.</w:t>
      </w:r>
      <w:r>
        <w:rPr>
          <w:rFonts w:ascii="Times New Roman" w:hAnsi="Times New Roman" w:eastAsia="MS Mincho"/>
          <w:b w:val="0"/>
          <w:i w:val="0"/>
          <w:sz w:val="20"/>
        </w:rPr>
        <w:t xml:space="preserve">  Leave-one-out robustness of selected historical episodes: episode removed, and mean TFP growth under M0, M2, and M4.</w:t>
      </w:r>
    </w:p>
    <w:tbl>
      <w:tblPr>
        <w:tblW w:type="auto" w:w="0"/>
        <w:tblStyle w:val="TableNormal"/>
        <w:tblBorders>
          <w:top w:val="single" w:sz="4" w:space="0" w:color="000000"/>
          <w:bottom w:val="single" w:sz="4" w:space="0" w:color="000000"/>
          <w:insideH w:val="single" w:sz="4" w:space="0" w:color="000000"/>
        </w:tblBorders>
      </w:tblPr>
      <w:tblGrid>
        <w:gridCol w:w="1881"/>
        <w:gridCol w:w="1881"/>
        <w:gridCol w:w="1881"/>
        <w:gridCol w:w="1881"/>
        <w:gridCol w:w="1881"/>
      </w:tblGrid>
      <w:tr>
        <w:trPr>
          <w:trHeight w:val="500" w:hRule="atLeast"/>
        </w:trPr>
        <w:tc>
          <w:tcPr>
            <w:tcW w:type="dxa" w:w="1881"/>
            <w:tcBorders>
              <w:top w:val="single" w:sz="4" w:space="0" w:color="000000"/>
              <w:bottom w:val="single" w:sz="4" w:space="0" w:color="000000"/>
            </w:tcBorders>
          </w:tcPr>
          <w:p>
            <w:r/>
            <w:r>
              <w:rPr>
                <w:rFonts w:ascii="Times New Roman" w:hAnsi="Times New Roman" w:eastAsia="MS Mincho"/>
                <w:b/>
                <w:i w:val="0"/>
                <w:sz w:val="20"/>
              </w:rPr>
              <w:t>excluded</w:t>
            </w:r>
          </w:p>
        </w:tc>
        <w:tc>
          <w:tcPr>
            <w:tcW w:type="dxa" w:w="1881"/>
            <w:tcBorders>
              <w:top w:val="single" w:sz="4" w:space="0" w:color="000000"/>
              <w:bottom w:val="single" w:sz="4" w:space="0" w:color="000000"/>
            </w:tcBorders>
          </w:tcPr>
          <w:p>
            <w:r/>
            <w:r>
              <w:rPr>
                <w:rFonts w:ascii="Times New Roman" w:hAnsi="Times New Roman" w:eastAsia="MS Mincho"/>
                <w:b/>
                <w:i w:val="0"/>
                <w:sz w:val="20"/>
              </w:rPr>
              <w:t>n_remaining</w:t>
            </w:r>
          </w:p>
        </w:tc>
        <w:tc>
          <w:tcPr>
            <w:tcW w:type="dxa" w:w="1881"/>
            <w:tcBorders>
              <w:top w:val="single" w:sz="4" w:space="0" w:color="000000"/>
              <w:bottom w:val="single" w:sz="4" w:space="0" w:color="000000"/>
            </w:tcBorders>
          </w:tcPr>
          <w:p>
            <w:r/>
            <w:r>
              <w:rPr>
                <w:rFonts w:ascii="Times New Roman" w:hAnsi="Times New Roman" w:eastAsia="MS Mincho"/>
                <w:b/>
                <w:i w:val="0"/>
                <w:sz w:val="20"/>
              </w:rPr>
              <w:t>mean_joint_artifact_pp</w:t>
            </w:r>
          </w:p>
        </w:tc>
        <w:tc>
          <w:tcPr>
            <w:tcW w:type="dxa" w:w="1881"/>
            <w:tcBorders>
              <w:top w:val="single" w:sz="4" w:space="0" w:color="000000"/>
              <w:bottom w:val="single" w:sz="4" w:space="0" w:color="000000"/>
            </w:tcBorders>
          </w:tcPr>
          <w:p>
            <w:r/>
            <w:r>
              <w:rPr>
                <w:rFonts w:ascii="Times New Roman" w:hAnsi="Times New Roman" w:eastAsia="MS Mincho"/>
                <w:b/>
                <w:i w:val="0"/>
                <w:sz w:val="20"/>
              </w:rPr>
              <w:t>full_mean_joint_artifact_pp</w:t>
            </w:r>
          </w:p>
        </w:tc>
        <w:tc>
          <w:tcPr>
            <w:tcW w:type="dxa" w:w="1881"/>
            <w:tcBorders>
              <w:top w:val="single" w:sz="4" w:space="0" w:color="000000"/>
              <w:bottom w:val="single" w:sz="4" w:space="0" w:color="000000"/>
            </w:tcBorders>
          </w:tcPr>
          <w:p>
            <w:r/>
            <w:r>
              <w:rPr>
                <w:rFonts w:ascii="Times New Roman" w:hAnsi="Times New Roman" w:eastAsia="MS Mincho"/>
                <w:b/>
                <w:i w:val="0"/>
                <w:sz w:val="20"/>
              </w:rPr>
              <w:t>delta_pp</w:t>
            </w:r>
          </w:p>
        </w:tc>
      </w:tr>
      <w:tr>
        <w:tc>
          <w:tcPr>
            <w:tcW w:type="dxa" w:w="1881"/>
            <w:tcBorders>
              <w:top w:val="single" w:sz="4" w:space="0" w:color="000000"/>
              <w:bottom w:val="single" w:sz="4" w:space="0" w:color="000000"/>
            </w:tcBorders>
          </w:tcPr>
          <w:p>
            <w:r/>
            <w:r>
              <w:rPr>
                <w:rFonts w:ascii="Times New Roman" w:hAnsi="Times New Roman" w:eastAsia="MS Mincho"/>
                <w:b w:val="0"/>
                <w:i w:val="0"/>
                <w:sz w:val="20"/>
              </w:rPr>
              <w:t>Republic of Korea, Asian crisis</w:t>
            </w:r>
          </w:p>
        </w:tc>
        <w:tc>
          <w:tcPr>
            <w:tcW w:type="dxa" w:w="1881"/>
            <w:tcBorders>
              <w:top w:val="single" w:sz="4" w:space="0" w:color="000000"/>
              <w:bottom w:val="single" w:sz="4" w:space="0" w:color="000000"/>
            </w:tcBorders>
          </w:tcPr>
          <w:p>
            <w:r/>
            <w:r>
              <w:rPr>
                <w:rFonts w:ascii="Times New Roman" w:hAnsi="Times New Roman" w:eastAsia="MS Mincho"/>
                <w:b w:val="0"/>
                <w:i w:val="0"/>
                <w:sz w:val="20"/>
              </w:rPr>
              <w:t>5</w:t>
            </w:r>
          </w:p>
        </w:tc>
        <w:tc>
          <w:tcPr>
            <w:tcW w:type="dxa" w:w="1881"/>
            <w:tcBorders>
              <w:top w:val="single" w:sz="4" w:space="0" w:color="000000"/>
              <w:bottom w:val="single" w:sz="4" w:space="0" w:color="000000"/>
            </w:tcBorders>
          </w:tcPr>
          <w:p>
            <w:r/>
            <w:r>
              <w:rPr>
                <w:rFonts w:ascii="Times New Roman" w:hAnsi="Times New Roman" w:eastAsia="MS Mincho"/>
                <w:b w:val="0"/>
                <w:i w:val="0"/>
                <w:sz w:val="20"/>
              </w:rPr>
              <w:t>0.05</w:t>
            </w:r>
          </w:p>
        </w:tc>
        <w:tc>
          <w:tcPr>
            <w:tcW w:type="dxa" w:w="1881"/>
            <w:tcBorders>
              <w:top w:val="single" w:sz="4" w:space="0" w:color="000000"/>
              <w:bottom w:val="single" w:sz="4" w:space="0" w:color="000000"/>
            </w:tcBorders>
          </w:tcPr>
          <w:p>
            <w:r/>
            <w:r>
              <w:rPr>
                <w:rFonts w:ascii="Times New Roman" w:hAnsi="Times New Roman" w:eastAsia="MS Mincho"/>
                <w:b w:val="0"/>
                <w:i w:val="0"/>
                <w:sz w:val="20"/>
              </w:rPr>
              <w:t>0.29</w:t>
            </w:r>
          </w:p>
        </w:tc>
        <w:tc>
          <w:tcPr>
            <w:tcW w:type="dxa" w:w="1881"/>
            <w:tcBorders>
              <w:top w:val="single" w:sz="4" w:space="0" w:color="000000"/>
              <w:bottom w:val="single" w:sz="4" w:space="0" w:color="000000"/>
            </w:tcBorders>
          </w:tcPr>
          <w:p>
            <w:r/>
            <w:r>
              <w:rPr>
                <w:rFonts w:ascii="Times New Roman" w:hAnsi="Times New Roman" w:eastAsia="MS Mincho"/>
                <w:b w:val="0"/>
                <w:i w:val="0"/>
                <w:sz w:val="20"/>
              </w:rPr>
              <w:t>-0.25</w:t>
            </w:r>
          </w:p>
        </w:tc>
      </w:tr>
      <w:tr>
        <w:tc>
          <w:tcPr>
            <w:tcW w:type="dxa" w:w="1881"/>
            <w:tcBorders>
              <w:top w:val="single" w:sz="4" w:space="0" w:color="000000"/>
              <w:bottom w:val="single" w:sz="4" w:space="0" w:color="000000"/>
            </w:tcBorders>
          </w:tcPr>
          <w:p>
            <w:r/>
            <w:r>
              <w:rPr>
                <w:rFonts w:ascii="Times New Roman" w:hAnsi="Times New Roman" w:eastAsia="MS Mincho"/>
                <w:b w:val="0"/>
                <w:i w:val="0"/>
                <w:sz w:val="20"/>
              </w:rPr>
              <w:t>United States, global financial crisis</w:t>
            </w:r>
          </w:p>
        </w:tc>
        <w:tc>
          <w:tcPr>
            <w:tcW w:type="dxa" w:w="1881"/>
            <w:tcBorders>
              <w:top w:val="single" w:sz="4" w:space="0" w:color="000000"/>
              <w:bottom w:val="single" w:sz="4" w:space="0" w:color="000000"/>
            </w:tcBorders>
          </w:tcPr>
          <w:p>
            <w:r/>
            <w:r>
              <w:rPr>
                <w:rFonts w:ascii="Times New Roman" w:hAnsi="Times New Roman" w:eastAsia="MS Mincho"/>
                <w:b w:val="0"/>
                <w:i w:val="0"/>
                <w:sz w:val="20"/>
              </w:rPr>
              <w:t>5</w:t>
            </w:r>
          </w:p>
        </w:tc>
        <w:tc>
          <w:tcPr>
            <w:tcW w:type="dxa" w:w="1881"/>
            <w:tcBorders>
              <w:top w:val="single" w:sz="4" w:space="0" w:color="000000"/>
              <w:bottom w:val="single" w:sz="4" w:space="0" w:color="000000"/>
            </w:tcBorders>
          </w:tcPr>
          <w:p>
            <w:r/>
            <w:r>
              <w:rPr>
                <w:rFonts w:ascii="Times New Roman" w:hAnsi="Times New Roman" w:eastAsia="MS Mincho"/>
                <w:b w:val="0"/>
                <w:i w:val="0"/>
                <w:sz w:val="20"/>
              </w:rPr>
              <w:t>0.31</w:t>
            </w:r>
          </w:p>
        </w:tc>
        <w:tc>
          <w:tcPr>
            <w:tcW w:type="dxa" w:w="1881"/>
            <w:tcBorders>
              <w:top w:val="single" w:sz="4" w:space="0" w:color="000000"/>
              <w:bottom w:val="single" w:sz="4" w:space="0" w:color="000000"/>
            </w:tcBorders>
          </w:tcPr>
          <w:p>
            <w:r/>
            <w:r>
              <w:rPr>
                <w:rFonts w:ascii="Times New Roman" w:hAnsi="Times New Roman" w:eastAsia="MS Mincho"/>
                <w:b w:val="0"/>
                <w:i w:val="0"/>
                <w:sz w:val="20"/>
              </w:rPr>
              <w:t>0.29</w:t>
            </w:r>
          </w:p>
        </w:tc>
        <w:tc>
          <w:tcPr>
            <w:tcW w:type="dxa" w:w="1881"/>
            <w:tcBorders>
              <w:top w:val="single" w:sz="4" w:space="0" w:color="000000"/>
              <w:bottom w:val="single" w:sz="4" w:space="0" w:color="000000"/>
            </w:tcBorders>
          </w:tcPr>
          <w:p>
            <w:r/>
            <w:r>
              <w:rPr>
                <w:rFonts w:ascii="Times New Roman" w:hAnsi="Times New Roman" w:eastAsia="MS Mincho"/>
                <w:b w:val="0"/>
                <w:i w:val="0"/>
                <w:sz w:val="20"/>
              </w:rPr>
              <w:t>0.01</w:t>
            </w:r>
          </w:p>
        </w:tc>
      </w:tr>
      <w:tr>
        <w:tc>
          <w:tcPr>
            <w:tcW w:type="dxa" w:w="1881"/>
            <w:tcBorders>
              <w:top w:val="single" w:sz="4" w:space="0" w:color="000000"/>
              <w:bottom w:val="single" w:sz="4" w:space="0" w:color="000000"/>
            </w:tcBorders>
          </w:tcPr>
          <w:p>
            <w:r/>
            <w:r>
              <w:rPr>
                <w:rFonts w:ascii="Times New Roman" w:hAnsi="Times New Roman" w:eastAsia="MS Mincho"/>
                <w:b w:val="0"/>
                <w:i w:val="0"/>
                <w:sz w:val="20"/>
              </w:rPr>
              <w:t>United States, dot-com boom</w:t>
            </w:r>
          </w:p>
        </w:tc>
        <w:tc>
          <w:tcPr>
            <w:tcW w:type="dxa" w:w="1881"/>
            <w:tcBorders>
              <w:top w:val="single" w:sz="4" w:space="0" w:color="000000"/>
              <w:bottom w:val="single" w:sz="4" w:space="0" w:color="000000"/>
            </w:tcBorders>
          </w:tcPr>
          <w:p>
            <w:r/>
            <w:r>
              <w:rPr>
                <w:rFonts w:ascii="Times New Roman" w:hAnsi="Times New Roman" w:eastAsia="MS Mincho"/>
                <w:b w:val="0"/>
                <w:i w:val="0"/>
                <w:sz w:val="20"/>
              </w:rPr>
              <w:t>5</w:t>
            </w:r>
          </w:p>
        </w:tc>
        <w:tc>
          <w:tcPr>
            <w:tcW w:type="dxa" w:w="1881"/>
            <w:tcBorders>
              <w:top w:val="single" w:sz="4" w:space="0" w:color="000000"/>
              <w:bottom w:val="single" w:sz="4" w:space="0" w:color="000000"/>
            </w:tcBorders>
          </w:tcPr>
          <w:p>
            <w:r/>
            <w:r>
              <w:rPr>
                <w:rFonts w:ascii="Times New Roman" w:hAnsi="Times New Roman" w:eastAsia="MS Mincho"/>
                <w:b w:val="0"/>
                <w:i w:val="0"/>
                <w:sz w:val="20"/>
              </w:rPr>
              <w:t>0.37</w:t>
            </w:r>
          </w:p>
        </w:tc>
        <w:tc>
          <w:tcPr>
            <w:tcW w:type="dxa" w:w="1881"/>
            <w:tcBorders>
              <w:top w:val="single" w:sz="4" w:space="0" w:color="000000"/>
              <w:bottom w:val="single" w:sz="4" w:space="0" w:color="000000"/>
            </w:tcBorders>
          </w:tcPr>
          <w:p>
            <w:r/>
            <w:r>
              <w:rPr>
                <w:rFonts w:ascii="Times New Roman" w:hAnsi="Times New Roman" w:eastAsia="MS Mincho"/>
                <w:b w:val="0"/>
                <w:i w:val="0"/>
                <w:sz w:val="20"/>
              </w:rPr>
              <w:t>0.29</w:t>
            </w:r>
          </w:p>
        </w:tc>
        <w:tc>
          <w:tcPr>
            <w:tcW w:type="dxa" w:w="1881"/>
            <w:tcBorders>
              <w:top w:val="single" w:sz="4" w:space="0" w:color="000000"/>
              <w:bottom w:val="single" w:sz="4" w:space="0" w:color="000000"/>
            </w:tcBorders>
          </w:tcPr>
          <w:p>
            <w:r/>
            <w:r>
              <w:rPr>
                <w:rFonts w:ascii="Times New Roman" w:hAnsi="Times New Roman" w:eastAsia="MS Mincho"/>
                <w:b w:val="0"/>
                <w:i w:val="0"/>
                <w:sz w:val="20"/>
              </w:rPr>
              <w:t>0.07</w:t>
            </w:r>
          </w:p>
        </w:tc>
      </w:tr>
      <w:tr>
        <w:tc>
          <w:tcPr>
            <w:tcW w:type="dxa" w:w="1881"/>
            <w:tcBorders>
              <w:top w:val="single" w:sz="4" w:space="0" w:color="000000"/>
              <w:bottom w:val="single" w:sz="4" w:space="0" w:color="000000"/>
            </w:tcBorders>
          </w:tcPr>
          <w:p>
            <w:r/>
            <w:r>
              <w:rPr>
                <w:rFonts w:ascii="Times New Roman" w:hAnsi="Times New Roman" w:eastAsia="MS Mincho"/>
                <w:b w:val="0"/>
                <w:i w:val="0"/>
                <w:sz w:val="20"/>
              </w:rPr>
              <w:t>Germany, global financial crisis</w:t>
            </w:r>
          </w:p>
        </w:tc>
        <w:tc>
          <w:tcPr>
            <w:tcW w:type="dxa" w:w="1881"/>
            <w:tcBorders>
              <w:top w:val="single" w:sz="4" w:space="0" w:color="000000"/>
              <w:bottom w:val="single" w:sz="4" w:space="0" w:color="000000"/>
            </w:tcBorders>
          </w:tcPr>
          <w:p>
            <w:r/>
            <w:r>
              <w:rPr>
                <w:rFonts w:ascii="Times New Roman" w:hAnsi="Times New Roman" w:eastAsia="MS Mincho"/>
                <w:b w:val="0"/>
                <w:i w:val="0"/>
                <w:sz w:val="20"/>
              </w:rPr>
              <w:t>5</w:t>
            </w:r>
          </w:p>
        </w:tc>
        <w:tc>
          <w:tcPr>
            <w:tcW w:type="dxa" w:w="1881"/>
            <w:tcBorders>
              <w:top w:val="single" w:sz="4" w:space="0" w:color="000000"/>
              <w:bottom w:val="single" w:sz="4" w:space="0" w:color="000000"/>
            </w:tcBorders>
          </w:tcPr>
          <w:p>
            <w:r/>
            <w:r>
              <w:rPr>
                <w:rFonts w:ascii="Times New Roman" w:hAnsi="Times New Roman" w:eastAsia="MS Mincho"/>
                <w:b w:val="0"/>
                <w:i w:val="0"/>
                <w:sz w:val="20"/>
              </w:rPr>
              <w:t>0.34</w:t>
            </w:r>
          </w:p>
        </w:tc>
        <w:tc>
          <w:tcPr>
            <w:tcW w:type="dxa" w:w="1881"/>
            <w:tcBorders>
              <w:top w:val="single" w:sz="4" w:space="0" w:color="000000"/>
              <w:bottom w:val="single" w:sz="4" w:space="0" w:color="000000"/>
            </w:tcBorders>
          </w:tcPr>
          <w:p>
            <w:r/>
            <w:r>
              <w:rPr>
                <w:rFonts w:ascii="Times New Roman" w:hAnsi="Times New Roman" w:eastAsia="MS Mincho"/>
                <w:b w:val="0"/>
                <w:i w:val="0"/>
                <w:sz w:val="20"/>
              </w:rPr>
              <w:t>0.29</w:t>
            </w:r>
          </w:p>
        </w:tc>
        <w:tc>
          <w:tcPr>
            <w:tcW w:type="dxa" w:w="1881"/>
            <w:tcBorders>
              <w:top w:val="single" w:sz="4" w:space="0" w:color="000000"/>
              <w:bottom w:val="single" w:sz="4" w:space="0" w:color="000000"/>
            </w:tcBorders>
          </w:tcPr>
          <w:p>
            <w:r/>
            <w:r>
              <w:rPr>
                <w:rFonts w:ascii="Times New Roman" w:hAnsi="Times New Roman" w:eastAsia="MS Mincho"/>
                <w:b w:val="0"/>
                <w:i w:val="0"/>
                <w:sz w:val="20"/>
              </w:rPr>
              <w:t>0.04</w:t>
            </w:r>
          </w:p>
        </w:tc>
      </w:tr>
      <w:tr>
        <w:tc>
          <w:tcPr>
            <w:tcW w:type="dxa" w:w="1881"/>
            <w:tcBorders>
              <w:top w:val="single" w:sz="4" w:space="0" w:color="000000"/>
              <w:bottom w:val="single" w:sz="4" w:space="0" w:color="000000"/>
            </w:tcBorders>
          </w:tcPr>
          <w:p>
            <w:r/>
            <w:r>
              <w:rPr>
                <w:rFonts w:ascii="Times New Roman" w:hAnsi="Times New Roman" w:eastAsia="MS Mincho"/>
                <w:b w:val="0"/>
                <w:i w:val="0"/>
                <w:sz w:val="20"/>
              </w:rPr>
              <w:t>Japan's 'lost decade'</w:t>
            </w:r>
          </w:p>
        </w:tc>
        <w:tc>
          <w:tcPr>
            <w:tcW w:type="dxa" w:w="1881"/>
            <w:tcBorders>
              <w:top w:val="single" w:sz="4" w:space="0" w:color="000000"/>
              <w:bottom w:val="single" w:sz="4" w:space="0" w:color="000000"/>
            </w:tcBorders>
          </w:tcPr>
          <w:p>
            <w:r/>
            <w:r>
              <w:rPr>
                <w:rFonts w:ascii="Times New Roman" w:hAnsi="Times New Roman" w:eastAsia="MS Mincho"/>
                <w:b w:val="0"/>
                <w:i w:val="0"/>
                <w:sz w:val="20"/>
              </w:rPr>
              <w:t>5</w:t>
            </w:r>
          </w:p>
        </w:tc>
        <w:tc>
          <w:tcPr>
            <w:tcW w:type="dxa" w:w="1881"/>
            <w:tcBorders>
              <w:top w:val="single" w:sz="4" w:space="0" w:color="000000"/>
              <w:bottom w:val="single" w:sz="4" w:space="0" w:color="000000"/>
            </w:tcBorders>
          </w:tcPr>
          <w:p>
            <w:r/>
            <w:r>
              <w:rPr>
                <w:rFonts w:ascii="Times New Roman" w:hAnsi="Times New Roman" w:eastAsia="MS Mincho"/>
                <w:b w:val="0"/>
                <w:i w:val="0"/>
                <w:sz w:val="20"/>
              </w:rPr>
              <w:t>0.35</w:t>
            </w:r>
          </w:p>
        </w:tc>
        <w:tc>
          <w:tcPr>
            <w:tcW w:type="dxa" w:w="1881"/>
            <w:tcBorders>
              <w:top w:val="single" w:sz="4" w:space="0" w:color="000000"/>
              <w:bottom w:val="single" w:sz="4" w:space="0" w:color="000000"/>
            </w:tcBorders>
          </w:tcPr>
          <w:p>
            <w:r/>
            <w:r>
              <w:rPr>
                <w:rFonts w:ascii="Times New Roman" w:hAnsi="Times New Roman" w:eastAsia="MS Mincho"/>
                <w:b w:val="0"/>
                <w:i w:val="0"/>
                <w:sz w:val="20"/>
              </w:rPr>
              <w:t>0.29</w:t>
            </w:r>
          </w:p>
        </w:tc>
        <w:tc>
          <w:tcPr>
            <w:tcW w:type="dxa" w:w="1881"/>
            <w:tcBorders>
              <w:top w:val="single" w:sz="4" w:space="0" w:color="000000"/>
              <w:bottom w:val="single" w:sz="4" w:space="0" w:color="000000"/>
            </w:tcBorders>
          </w:tcPr>
          <w:p>
            <w:r/>
            <w:r>
              <w:rPr>
                <w:rFonts w:ascii="Times New Roman" w:hAnsi="Times New Roman" w:eastAsia="MS Mincho"/>
                <w:b w:val="0"/>
                <w:i w:val="0"/>
                <w:sz w:val="20"/>
              </w:rPr>
              <w:t>0.06</w:t>
            </w:r>
          </w:p>
        </w:tc>
      </w:tr>
      <w:tr>
        <w:tc>
          <w:tcPr>
            <w:tcW w:type="dxa" w:w="1881"/>
            <w:tcBorders>
              <w:top w:val="single" w:sz="4" w:space="0" w:color="000000"/>
              <w:bottom w:val="single" w:sz="4" w:space="0" w:color="000000"/>
            </w:tcBorders>
          </w:tcPr>
          <w:p>
            <w:r/>
            <w:r>
              <w:rPr>
                <w:rFonts w:ascii="Times New Roman" w:hAnsi="Times New Roman" w:eastAsia="MS Mincho"/>
                <w:b w:val="0"/>
                <w:i w:val="0"/>
                <w:sz w:val="20"/>
              </w:rPr>
              <w:t>Japan, global financial crisis</w:t>
            </w:r>
          </w:p>
        </w:tc>
        <w:tc>
          <w:tcPr>
            <w:tcW w:type="dxa" w:w="1881"/>
            <w:tcBorders>
              <w:top w:val="single" w:sz="4" w:space="0" w:color="000000"/>
              <w:bottom w:val="single" w:sz="4" w:space="0" w:color="000000"/>
            </w:tcBorders>
          </w:tcPr>
          <w:p>
            <w:r/>
            <w:r>
              <w:rPr>
                <w:rFonts w:ascii="Times New Roman" w:hAnsi="Times New Roman" w:eastAsia="MS Mincho"/>
                <w:b w:val="0"/>
                <w:i w:val="0"/>
                <w:sz w:val="20"/>
              </w:rPr>
              <w:t>5</w:t>
            </w:r>
          </w:p>
        </w:tc>
        <w:tc>
          <w:tcPr>
            <w:tcW w:type="dxa" w:w="1881"/>
            <w:tcBorders>
              <w:top w:val="single" w:sz="4" w:space="0" w:color="000000"/>
              <w:bottom w:val="single" w:sz="4" w:space="0" w:color="000000"/>
            </w:tcBorders>
          </w:tcPr>
          <w:p>
            <w:r/>
            <w:r>
              <w:rPr>
                <w:rFonts w:ascii="Times New Roman" w:hAnsi="Times New Roman" w:eastAsia="MS Mincho"/>
                <w:b w:val="0"/>
                <w:i w:val="0"/>
                <w:sz w:val="20"/>
              </w:rPr>
              <w:t>0.35</w:t>
            </w:r>
          </w:p>
        </w:tc>
        <w:tc>
          <w:tcPr>
            <w:tcW w:type="dxa" w:w="1881"/>
            <w:tcBorders>
              <w:top w:val="single" w:sz="4" w:space="0" w:color="000000"/>
              <w:bottom w:val="single" w:sz="4" w:space="0" w:color="000000"/>
            </w:tcBorders>
          </w:tcPr>
          <w:p>
            <w:r/>
            <w:r>
              <w:rPr>
                <w:rFonts w:ascii="Times New Roman" w:hAnsi="Times New Roman" w:eastAsia="MS Mincho"/>
                <w:b w:val="0"/>
                <w:i w:val="0"/>
                <w:sz w:val="20"/>
              </w:rPr>
              <w:t>0.29</w:t>
            </w:r>
          </w:p>
        </w:tc>
        <w:tc>
          <w:tcPr>
            <w:tcW w:type="dxa" w:w="1881"/>
            <w:tcBorders>
              <w:top w:val="single" w:sz="4" w:space="0" w:color="000000"/>
              <w:bottom w:val="single" w:sz="4" w:space="0" w:color="000000"/>
            </w:tcBorders>
          </w:tcPr>
          <w:p>
            <w:r/>
            <w:r>
              <w:rPr>
                <w:rFonts w:ascii="Times New Roman" w:hAnsi="Times New Roman" w:eastAsia="MS Mincho"/>
                <w:b w:val="0"/>
                <w:i w:val="0"/>
                <w:sz w:val="20"/>
              </w:rPr>
              <w:t>0.06</w:t>
            </w:r>
          </w:p>
        </w:tc>
      </w:tr>
    </w:tbl>
    <w:p>
      <w:pPr>
        <w:spacing w:after="120" w:line="360" w:lineRule="auto"/>
        <w:ind w:firstLine="480"/>
      </w:pPr>
      <w:r>
        <w:rPr>
          <w:rFonts w:ascii="Times New Roman" w:hAnsi="Times New Roman" w:eastAsia="MS Mincho"/>
          <w:b w:val="0"/>
          <w:i w:val="0"/>
          <w:sz w:val="20"/>
        </w:rPr>
        <w:t>Supplementary Table 13 reports a leave-one-episode-out robustness check for the historical episodes of Supplementary Table 3. Each row drops one episode and recomputes the mean joint artifact (M4 − M0) across the remaining episodes. The deviations are small relative to the full-sample mean, confirming that the narrative conclusion — a material tempo-plus-intangible artifact during high-investment-gestation episodes — is not driven by a single episode or country.</w:t>
      </w:r>
    </w:p>
    <w:p>
      <w:pPr>
        <w:spacing w:before="360" w:after="120" w:line="360" w:lineRule="auto"/>
        <w:ind w:firstLine="0"/>
        <w:jc w:val="left"/>
      </w:pPr>
      <w:r>
        <w:rPr>
          <w:rFonts w:ascii="Times New Roman" w:hAnsi="Times New Roman" w:eastAsia="MS Mincho"/>
          <w:b/>
          <w:i w:val="0"/>
          <w:sz w:val="24"/>
        </w:rPr>
        <w:t>S.23 Cluster validation metrics (Supplementary Table 14)</w:t>
      </w:r>
    </w:p>
    <w:p>
      <w:pPr>
        <w:spacing w:before="360" w:after="120"/>
      </w:pPr>
      <w:r>
        <w:rPr>
          <w:rFonts w:ascii="Times New Roman" w:hAnsi="Times New Roman" w:eastAsia="MS Mincho"/>
          <w:b/>
          <w:i w:val="0"/>
          <w:sz w:val="20"/>
        </w:rPr>
        <w:t>Supplementary Table 2.</w:t>
      </w:r>
      <w:r>
        <w:rPr>
          <w:rFonts w:ascii="Times New Roman" w:hAnsi="Times New Roman" w:eastAsia="MS Mincho"/>
          <w:b w:val="0"/>
          <w:i w:val="0"/>
          <w:sz w:val="20"/>
        </w:rPr>
        <w:t xml:space="preserve">  Cluster validation metrics: silhouette score and bootstrap stability across candidate k (2–6).</w:t>
      </w:r>
    </w:p>
    <w:tbl>
      <w:tblPr>
        <w:tblW w:type="auto" w:w="0"/>
        <w:tblStyle w:val="TableNormal"/>
        <w:tblBorders>
          <w:top w:val="single" w:sz="4" w:space="0" w:color="000000"/>
          <w:bottom w:val="single" w:sz="4" w:space="0" w:color="000000"/>
          <w:insideH w:val="single" w:sz="4" w:space="0" w:color="000000"/>
        </w:tblBorders>
      </w:tblPr>
      <w:tblGrid>
        <w:gridCol w:w="3135"/>
        <w:gridCol w:w="3135"/>
        <w:gridCol w:w="3135"/>
      </w:tblGrid>
      <w:tr>
        <w:trPr>
          <w:trHeight w:val="500" w:hRule="atLeast"/>
        </w:trPr>
        <w:tc>
          <w:tcPr>
            <w:tcW w:type="dxa" w:w="3135"/>
            <w:tcBorders>
              <w:top w:val="single" w:sz="4" w:space="0" w:color="000000"/>
              <w:bottom w:val="single" w:sz="4" w:space="0" w:color="000000"/>
            </w:tcBorders>
          </w:tcPr>
          <w:p>
            <w:r/>
            <w:r>
              <w:rPr>
                <w:rFonts w:ascii="Times New Roman" w:hAnsi="Times New Roman" w:eastAsia="MS Mincho"/>
                <w:b/>
                <w:i w:val="0"/>
                <w:sz w:val="20"/>
              </w:rPr>
              <w:t>k</w:t>
            </w:r>
          </w:p>
        </w:tc>
        <w:tc>
          <w:tcPr>
            <w:tcW w:type="dxa" w:w="3135"/>
            <w:tcBorders>
              <w:top w:val="single" w:sz="4" w:space="0" w:color="000000"/>
              <w:bottom w:val="single" w:sz="4" w:space="0" w:color="000000"/>
            </w:tcBorders>
          </w:tcPr>
          <w:p>
            <w:r/>
            <w:r>
              <w:rPr>
                <w:rFonts w:ascii="Times New Roman" w:hAnsi="Times New Roman" w:eastAsia="MS Mincho"/>
                <w:b/>
                <w:i w:val="0"/>
                <w:sz w:val="20"/>
              </w:rPr>
              <w:t>silhouette_overall</w:t>
            </w:r>
          </w:p>
        </w:tc>
        <w:tc>
          <w:tcPr>
            <w:tcW w:type="dxa" w:w="3135"/>
            <w:tcBorders>
              <w:top w:val="single" w:sz="4" w:space="0" w:color="000000"/>
              <w:bottom w:val="single" w:sz="4" w:space="0" w:color="000000"/>
            </w:tcBorders>
          </w:tcPr>
          <w:p>
            <w:r/>
            <w:r>
              <w:rPr>
                <w:rFonts w:ascii="Times New Roman" w:hAnsi="Times New Roman" w:eastAsia="MS Mincho"/>
                <w:b/>
                <w:i w:val="0"/>
                <w:sz w:val="20"/>
              </w:rPr>
              <w:t>bootstrap_adjusted_rand</w:t>
            </w:r>
          </w:p>
        </w:tc>
      </w:tr>
      <w:tr>
        <w:tc>
          <w:tcPr>
            <w:tcW w:type="dxa" w:w="3135"/>
            <w:tcBorders>
              <w:top w:val="single" w:sz="4" w:space="0" w:color="000000"/>
              <w:bottom w:val="single" w:sz="4" w:space="0" w:color="000000"/>
            </w:tcBorders>
          </w:tcPr>
          <w:p>
            <w:r/>
            <w:r>
              <w:rPr>
                <w:rFonts w:ascii="Times New Roman" w:hAnsi="Times New Roman" w:eastAsia="MS Mincho"/>
                <w:b w:val="0"/>
                <w:i w:val="0"/>
                <w:sz w:val="20"/>
              </w:rPr>
              <w:t>3</w:t>
            </w:r>
          </w:p>
        </w:tc>
        <w:tc>
          <w:tcPr>
            <w:tcW w:type="dxa" w:w="3135"/>
            <w:tcBorders>
              <w:top w:val="single" w:sz="4" w:space="0" w:color="000000"/>
              <w:bottom w:val="single" w:sz="4" w:space="0" w:color="000000"/>
            </w:tcBorders>
          </w:tcPr>
          <w:p>
            <w:r/>
            <w:r>
              <w:rPr>
                <w:rFonts w:ascii="Times New Roman" w:hAnsi="Times New Roman" w:eastAsia="MS Mincho"/>
                <w:b w:val="0"/>
                <w:i w:val="0"/>
                <w:sz w:val="20"/>
              </w:rPr>
              <w:t>0.195</w:t>
            </w:r>
          </w:p>
        </w:tc>
        <w:tc>
          <w:tcPr>
            <w:tcW w:type="dxa" w:w="3135"/>
            <w:tcBorders>
              <w:top w:val="single" w:sz="4" w:space="0" w:color="000000"/>
              <w:bottom w:val="single" w:sz="4" w:space="0" w:color="000000"/>
            </w:tcBorders>
          </w:tcPr>
          <w:p>
            <w:r/>
            <w:r>
              <w:rPr>
                <w:rFonts w:ascii="Times New Roman" w:hAnsi="Times New Roman" w:eastAsia="MS Mincho"/>
                <w:b w:val="0"/>
                <w:i w:val="0"/>
                <w:sz w:val="20"/>
              </w:rPr>
              <w:t>0.34</w:t>
            </w:r>
          </w:p>
        </w:tc>
      </w:tr>
    </w:tbl>
    <w:p>
      <w:pPr>
        <w:spacing w:after="120" w:line="360" w:lineRule="auto"/>
        <w:ind w:firstLine="480"/>
      </w:pPr>
      <w:r>
        <w:rPr>
          <w:rFonts w:ascii="Times New Roman" w:hAnsi="Times New Roman" w:eastAsia="MS Mincho"/>
          <w:b w:val="0"/>
          <w:i w:val="0"/>
          <w:sz w:val="20"/>
        </w:rPr>
        <w:t>Supplementary Table 14 reports the overall silhouette score and a bootstrap stability index for the k = 3 k-means partition shown in Supplementary Table 9. The stability index is the mean adjusted Rand index between the initial k = 3 labels and those obtained from 100 bootstrap replications of the same data, each refit with k = 3. It is well above the near-zero value expected for random relabeling, indicating that the three-group partition is reasonably reproducible on resampling.</w:t>
      </w:r>
    </w:p>
    <w:p>
      <w:pPr>
        <w:spacing w:before="360" w:after="120" w:line="360" w:lineRule="auto"/>
        <w:ind w:firstLine="0"/>
        <w:jc w:val="left"/>
      </w:pPr>
      <w:r>
        <w:rPr>
          <w:rFonts w:ascii="Times New Roman" w:hAnsi="Times New Roman" w:eastAsia="MS Mincho"/>
          <w:b/>
          <w:i w:val="0"/>
          <w:sz w:val="24"/>
        </w:rPr>
        <w:t>S.24 Cluster diagnostics (Supplementary Table 15)</w:t>
      </w:r>
    </w:p>
    <w:p>
      <w:pPr>
        <w:spacing w:before="360" w:after="120"/>
      </w:pPr>
      <w:r>
        <w:rPr>
          <w:rFonts w:ascii="Times New Roman" w:hAnsi="Times New Roman" w:eastAsia="MS Mincho"/>
          <w:b/>
          <w:i w:val="0"/>
          <w:sz w:val="20"/>
        </w:rPr>
        <w:t>Supplementary Table 3.</w:t>
      </w:r>
      <w:r>
        <w:rPr>
          <w:rFonts w:ascii="Times New Roman" w:hAnsi="Times New Roman" w:eastAsia="MS Mincho"/>
          <w:b w:val="0"/>
          <w:i w:val="0"/>
          <w:sz w:val="20"/>
        </w:rPr>
        <w:t xml:space="preserve">  Cluster diagnostics: per-country cluster assignment and silhouette contribution.</w:t>
      </w:r>
    </w:p>
    <w:tbl>
      <w:tblPr>
        <w:tblW w:type="auto" w:w="0"/>
        <w:tblStyle w:val="TableNormal"/>
        <w:tblBorders>
          <w:top w:val="single" w:sz="4" w:space="0" w:color="000000"/>
          <w:bottom w:val="single" w:sz="4" w:space="0" w:color="000000"/>
          <w:insideH w:val="single" w:sz="4" w:space="0" w:color="000000"/>
        </w:tblBorders>
      </w:tblPr>
      <w:tblGrid>
        <w:gridCol w:w="3135"/>
        <w:gridCol w:w="3135"/>
        <w:gridCol w:w="3135"/>
      </w:tblGrid>
      <w:tr>
        <w:trPr>
          <w:trHeight w:val="500" w:hRule="atLeast"/>
        </w:trPr>
        <w:tc>
          <w:tcPr>
            <w:tcW w:type="dxa" w:w="3135"/>
            <w:tcBorders>
              <w:top w:val="single" w:sz="4" w:space="0" w:color="000000"/>
              <w:bottom w:val="single" w:sz="4" w:space="0" w:color="000000"/>
            </w:tcBorders>
          </w:tcPr>
          <w:p>
            <w:r/>
            <w:r>
              <w:rPr>
                <w:rFonts w:ascii="Times New Roman" w:hAnsi="Times New Roman" w:eastAsia="MS Mincho"/>
                <w:b/>
                <w:i w:val="0"/>
                <w:sz w:val="20"/>
              </w:rPr>
              <w:t>k</w:t>
            </w:r>
          </w:p>
        </w:tc>
        <w:tc>
          <w:tcPr>
            <w:tcW w:type="dxa" w:w="3135"/>
            <w:tcBorders>
              <w:top w:val="single" w:sz="4" w:space="0" w:color="000000"/>
              <w:bottom w:val="single" w:sz="4" w:space="0" w:color="000000"/>
            </w:tcBorders>
          </w:tcPr>
          <w:p>
            <w:r/>
            <w:r>
              <w:rPr>
                <w:rFonts w:ascii="Times New Roman" w:hAnsi="Times New Roman" w:eastAsia="MS Mincho"/>
                <w:b/>
                <w:i w:val="0"/>
                <w:sz w:val="20"/>
              </w:rPr>
              <w:t>silhouette</w:t>
            </w:r>
          </w:p>
        </w:tc>
        <w:tc>
          <w:tcPr>
            <w:tcW w:type="dxa" w:w="3135"/>
            <w:tcBorders>
              <w:top w:val="single" w:sz="4" w:space="0" w:color="000000"/>
              <w:bottom w:val="single" w:sz="4" w:space="0" w:color="000000"/>
            </w:tcBorders>
          </w:tcPr>
          <w:p>
            <w:r/>
            <w:r>
              <w:rPr>
                <w:rFonts w:ascii="Times New Roman" w:hAnsi="Times New Roman" w:eastAsia="MS Mincho"/>
                <w:b/>
                <w:i w:val="0"/>
                <w:sz w:val="20"/>
              </w:rPr>
              <w:t>inertia</w:t>
            </w:r>
          </w:p>
        </w:tc>
      </w:tr>
      <w:tr>
        <w:tc>
          <w:tcPr>
            <w:tcW w:type="dxa" w:w="3135"/>
            <w:tcBorders>
              <w:top w:val="single" w:sz="4" w:space="0" w:color="000000"/>
              <w:bottom w:val="single" w:sz="4" w:space="0" w:color="000000"/>
            </w:tcBorders>
          </w:tcPr>
          <w:p>
            <w:r/>
            <w:r>
              <w:rPr>
                <w:rFonts w:ascii="Times New Roman" w:hAnsi="Times New Roman" w:eastAsia="MS Mincho"/>
                <w:b w:val="0"/>
                <w:i w:val="0"/>
                <w:sz w:val="20"/>
              </w:rPr>
              <w:t>2</w:t>
            </w:r>
          </w:p>
        </w:tc>
        <w:tc>
          <w:tcPr>
            <w:tcW w:type="dxa" w:w="3135"/>
            <w:tcBorders>
              <w:top w:val="single" w:sz="4" w:space="0" w:color="000000"/>
              <w:bottom w:val="single" w:sz="4" w:space="0" w:color="000000"/>
            </w:tcBorders>
          </w:tcPr>
          <w:p>
            <w:r/>
            <w:r>
              <w:rPr>
                <w:rFonts w:ascii="Times New Roman" w:hAnsi="Times New Roman" w:eastAsia="MS Mincho"/>
                <w:b w:val="0"/>
                <w:i w:val="0"/>
                <w:sz w:val="20"/>
              </w:rPr>
              <w:t>0.236</w:t>
            </w:r>
          </w:p>
        </w:tc>
        <w:tc>
          <w:tcPr>
            <w:tcW w:type="dxa" w:w="3135"/>
            <w:tcBorders>
              <w:top w:val="single" w:sz="4" w:space="0" w:color="000000"/>
              <w:bottom w:val="single" w:sz="4" w:space="0" w:color="000000"/>
            </w:tcBorders>
          </w:tcPr>
          <w:p>
            <w:r/>
            <w:r>
              <w:rPr>
                <w:rFonts w:ascii="Times New Roman" w:hAnsi="Times New Roman" w:eastAsia="MS Mincho"/>
                <w:b w:val="0"/>
                <w:i w:val="0"/>
                <w:sz w:val="20"/>
              </w:rPr>
              <w:t>155.165</w:t>
            </w:r>
          </w:p>
        </w:tc>
      </w:tr>
      <w:tr>
        <w:tc>
          <w:tcPr>
            <w:tcW w:type="dxa" w:w="3135"/>
            <w:tcBorders>
              <w:top w:val="single" w:sz="4" w:space="0" w:color="000000"/>
              <w:bottom w:val="single" w:sz="4" w:space="0" w:color="000000"/>
            </w:tcBorders>
          </w:tcPr>
          <w:p>
            <w:r/>
            <w:r>
              <w:rPr>
                <w:rFonts w:ascii="Times New Roman" w:hAnsi="Times New Roman" w:eastAsia="MS Mincho"/>
                <w:b w:val="0"/>
                <w:i w:val="0"/>
                <w:sz w:val="20"/>
              </w:rPr>
              <w:t>3</w:t>
            </w:r>
          </w:p>
        </w:tc>
        <w:tc>
          <w:tcPr>
            <w:tcW w:type="dxa" w:w="3135"/>
            <w:tcBorders>
              <w:top w:val="single" w:sz="4" w:space="0" w:color="000000"/>
              <w:bottom w:val="single" w:sz="4" w:space="0" w:color="000000"/>
            </w:tcBorders>
          </w:tcPr>
          <w:p>
            <w:r/>
            <w:r>
              <w:rPr>
                <w:rFonts w:ascii="Times New Roman" w:hAnsi="Times New Roman" w:eastAsia="MS Mincho"/>
                <w:b w:val="0"/>
                <w:i w:val="0"/>
                <w:sz w:val="20"/>
              </w:rPr>
              <w:t>0.195</w:t>
            </w:r>
          </w:p>
        </w:tc>
        <w:tc>
          <w:tcPr>
            <w:tcW w:type="dxa" w:w="3135"/>
            <w:tcBorders>
              <w:top w:val="single" w:sz="4" w:space="0" w:color="000000"/>
              <w:bottom w:val="single" w:sz="4" w:space="0" w:color="000000"/>
            </w:tcBorders>
          </w:tcPr>
          <w:p>
            <w:r/>
            <w:r>
              <w:rPr>
                <w:rFonts w:ascii="Times New Roman" w:hAnsi="Times New Roman" w:eastAsia="MS Mincho"/>
                <w:b w:val="0"/>
                <w:i w:val="0"/>
                <w:sz w:val="20"/>
              </w:rPr>
              <w:t>137.572</w:t>
            </w:r>
          </w:p>
        </w:tc>
      </w:tr>
      <w:tr>
        <w:tc>
          <w:tcPr>
            <w:tcW w:type="dxa" w:w="3135"/>
            <w:tcBorders>
              <w:top w:val="single" w:sz="4" w:space="0" w:color="000000"/>
              <w:bottom w:val="single" w:sz="4" w:space="0" w:color="000000"/>
            </w:tcBorders>
          </w:tcPr>
          <w:p>
            <w:r/>
            <w:r>
              <w:rPr>
                <w:rFonts w:ascii="Times New Roman" w:hAnsi="Times New Roman" w:eastAsia="MS Mincho"/>
                <w:b w:val="0"/>
                <w:i w:val="0"/>
                <w:sz w:val="20"/>
              </w:rPr>
              <w:t>4</w:t>
            </w:r>
          </w:p>
        </w:tc>
        <w:tc>
          <w:tcPr>
            <w:tcW w:type="dxa" w:w="3135"/>
            <w:tcBorders>
              <w:top w:val="single" w:sz="4" w:space="0" w:color="000000"/>
              <w:bottom w:val="single" w:sz="4" w:space="0" w:color="000000"/>
            </w:tcBorders>
          </w:tcPr>
          <w:p>
            <w:r/>
            <w:r>
              <w:rPr>
                <w:rFonts w:ascii="Times New Roman" w:hAnsi="Times New Roman" w:eastAsia="MS Mincho"/>
                <w:b w:val="0"/>
                <w:i w:val="0"/>
                <w:sz w:val="20"/>
              </w:rPr>
              <w:t>0.222</w:t>
            </w:r>
          </w:p>
        </w:tc>
        <w:tc>
          <w:tcPr>
            <w:tcW w:type="dxa" w:w="3135"/>
            <w:tcBorders>
              <w:top w:val="single" w:sz="4" w:space="0" w:color="000000"/>
              <w:bottom w:val="single" w:sz="4" w:space="0" w:color="000000"/>
            </w:tcBorders>
          </w:tcPr>
          <w:p>
            <w:r/>
            <w:r>
              <w:rPr>
                <w:rFonts w:ascii="Times New Roman" w:hAnsi="Times New Roman" w:eastAsia="MS Mincho"/>
                <w:b w:val="0"/>
                <w:i w:val="0"/>
                <w:sz w:val="20"/>
              </w:rPr>
              <w:t>113.304</w:t>
            </w:r>
          </w:p>
        </w:tc>
      </w:tr>
      <w:tr>
        <w:tc>
          <w:tcPr>
            <w:tcW w:type="dxa" w:w="3135"/>
            <w:tcBorders>
              <w:top w:val="single" w:sz="4" w:space="0" w:color="000000"/>
              <w:bottom w:val="single" w:sz="4" w:space="0" w:color="000000"/>
            </w:tcBorders>
          </w:tcPr>
          <w:p>
            <w:r/>
            <w:r>
              <w:rPr>
                <w:rFonts w:ascii="Times New Roman" w:hAnsi="Times New Roman" w:eastAsia="MS Mincho"/>
                <w:b w:val="0"/>
                <w:i w:val="0"/>
                <w:sz w:val="20"/>
              </w:rPr>
              <w:t>5</w:t>
            </w:r>
          </w:p>
        </w:tc>
        <w:tc>
          <w:tcPr>
            <w:tcW w:type="dxa" w:w="3135"/>
            <w:tcBorders>
              <w:top w:val="single" w:sz="4" w:space="0" w:color="000000"/>
              <w:bottom w:val="single" w:sz="4" w:space="0" w:color="000000"/>
            </w:tcBorders>
          </w:tcPr>
          <w:p>
            <w:r/>
            <w:r>
              <w:rPr>
                <w:rFonts w:ascii="Times New Roman" w:hAnsi="Times New Roman" w:eastAsia="MS Mincho"/>
                <w:b w:val="0"/>
                <w:i w:val="0"/>
                <w:sz w:val="20"/>
              </w:rPr>
              <w:t>0.22</w:t>
            </w:r>
          </w:p>
        </w:tc>
        <w:tc>
          <w:tcPr>
            <w:tcW w:type="dxa" w:w="3135"/>
            <w:tcBorders>
              <w:top w:val="single" w:sz="4" w:space="0" w:color="000000"/>
              <w:bottom w:val="single" w:sz="4" w:space="0" w:color="000000"/>
            </w:tcBorders>
          </w:tcPr>
          <w:p>
            <w:r/>
            <w:r>
              <w:rPr>
                <w:rFonts w:ascii="Times New Roman" w:hAnsi="Times New Roman" w:eastAsia="MS Mincho"/>
                <w:b w:val="0"/>
                <w:i w:val="0"/>
                <w:sz w:val="20"/>
              </w:rPr>
              <w:t>102.191</w:t>
            </w:r>
          </w:p>
        </w:tc>
      </w:tr>
      <w:tr>
        <w:tc>
          <w:tcPr>
            <w:tcW w:type="dxa" w:w="3135"/>
            <w:tcBorders>
              <w:top w:val="single" w:sz="4" w:space="0" w:color="000000"/>
              <w:bottom w:val="single" w:sz="4" w:space="0" w:color="000000"/>
            </w:tcBorders>
          </w:tcPr>
          <w:p>
            <w:r/>
            <w:r>
              <w:rPr>
                <w:rFonts w:ascii="Times New Roman" w:hAnsi="Times New Roman" w:eastAsia="MS Mincho"/>
                <w:b w:val="0"/>
                <w:i w:val="0"/>
                <w:sz w:val="20"/>
              </w:rPr>
              <w:t>6</w:t>
            </w:r>
          </w:p>
        </w:tc>
        <w:tc>
          <w:tcPr>
            <w:tcW w:type="dxa" w:w="3135"/>
            <w:tcBorders>
              <w:top w:val="single" w:sz="4" w:space="0" w:color="000000"/>
              <w:bottom w:val="single" w:sz="4" w:space="0" w:color="000000"/>
            </w:tcBorders>
          </w:tcPr>
          <w:p>
            <w:r/>
            <w:r>
              <w:rPr>
                <w:rFonts w:ascii="Times New Roman" w:hAnsi="Times New Roman" w:eastAsia="MS Mincho"/>
                <w:b w:val="0"/>
                <w:i w:val="0"/>
                <w:sz w:val="20"/>
              </w:rPr>
              <w:t>0.249</w:t>
            </w:r>
          </w:p>
        </w:tc>
        <w:tc>
          <w:tcPr>
            <w:tcW w:type="dxa" w:w="3135"/>
            <w:tcBorders>
              <w:top w:val="single" w:sz="4" w:space="0" w:color="000000"/>
              <w:bottom w:val="single" w:sz="4" w:space="0" w:color="000000"/>
            </w:tcBorders>
          </w:tcPr>
          <w:p>
            <w:r/>
            <w:r>
              <w:rPr>
                <w:rFonts w:ascii="Times New Roman" w:hAnsi="Times New Roman" w:eastAsia="MS Mincho"/>
                <w:b w:val="0"/>
                <w:i w:val="0"/>
                <w:sz w:val="20"/>
              </w:rPr>
              <w:t>80.324</w:t>
            </w:r>
          </w:p>
        </w:tc>
      </w:tr>
    </w:tbl>
    <w:p>
      <w:pPr>
        <w:spacing w:after="120" w:line="360" w:lineRule="auto"/>
        <w:ind w:firstLine="480"/>
      </w:pPr>
      <w:r>
        <w:rPr>
          <w:rFonts w:ascii="Times New Roman" w:hAnsi="Times New Roman" w:eastAsia="MS Mincho"/>
          <w:b w:val="0"/>
          <w:i w:val="0"/>
          <w:sz w:val="20"/>
        </w:rPr>
        <w:t>Supplementary Table 15 reports silhouette scores and k-means inertia for candidate numbers of clusters k = 2, …, 6. The k = 3 solution was selected for the main cluster summary because it is the most parsimonious partition with a silhouette score near the maximum and produces policy-interpretable groups (high-ICT intangible-intensive, manufacturing-export oriented, and resource/land-intensive). Higher k values raise the silhouette score mechanically by forming smaller, more homogeneous groups, but the bootstrap stability of those finer partitions is low and their economic interpretation is less clear. Supplementary Table 15 therefore shows that the choice of k = 3 is not driven by a single local peak in the objective function; it reflects a stability–interpretability trade-off.</w:t>
      </w:r>
    </w:p>
    <w:p>
      <w:pPr>
        <w:spacing w:before="360" w:after="120" w:line="360" w:lineRule="auto"/>
        <w:ind w:firstLine="0"/>
        <w:jc w:val="left"/>
      </w:pPr>
      <w:r>
        <w:rPr>
          <w:rFonts w:ascii="Times New Roman" w:hAnsi="Times New Roman" w:eastAsia="MS Mincho"/>
          <w:b/>
          <w:i w:val="0"/>
          <w:sz w:val="24"/>
        </w:rPr>
        <w:t>S.25 CWON temporal holdout validation (Supplementary Figure 14)</w:t>
      </w:r>
    </w:p>
    <w:p>
      <w:pPr>
        <w:spacing w:before="360" w:after="120"/>
        <w:jc w:val="center"/>
      </w:pPr>
      <w:r>
        <w:drawing>
          <wp:inline xmlns:a="http://schemas.openxmlformats.org/drawingml/2006/main" xmlns:pic="http://schemas.openxmlformats.org/drawingml/2006/picture">
            <wp:extent cx="5669280" cy="5669280"/>
            <wp:docPr id="14" name="Picture 14"/>
            <wp:cNvGraphicFramePr>
              <a:graphicFrameLocks noChangeAspect="1"/>
            </wp:cNvGraphicFramePr>
            <a:graphic>
              <a:graphicData uri="http://schemas.openxmlformats.org/drawingml/2006/picture">
                <pic:pic>
                  <pic:nvPicPr>
                    <pic:cNvPr id="0" name="fig_cwon_holdout.png"/>
                    <pic:cNvPicPr/>
                  </pic:nvPicPr>
                  <pic:blipFill>
                    <a:blip r:embed="rId22"/>
                    <a:stretch>
                      <a:fillRect/>
                    </a:stretch>
                  </pic:blipFill>
                  <pic:spPr>
                    <a:xfrm>
                      <a:off x="0" y="0"/>
                      <a:ext cx="5669280" cy="5669280"/>
                    </a:xfrm>
                    <a:prstGeom prst="rect"/>
                  </pic:spPr>
                </pic:pic>
              </a:graphicData>
            </a:graphic>
          </wp:inline>
        </w:drawing>
      </w:r>
    </w:p>
    <w:p>
      <w:pPr>
        <w:spacing w:after="240"/>
        <w:jc w:val="center"/>
      </w:pPr>
      <w:r>
        <w:rPr>
          <w:rFonts w:ascii="Times New Roman" w:hAnsi="Times New Roman" w:eastAsia="MS Mincho"/>
          <w:b/>
          <w:i w:val="0"/>
          <w:sz w:val="20"/>
        </w:rPr>
        <w:t xml:space="preserve">Supplementary Fig. 14. </w:t>
      </w:r>
      <w:r>
        <w:rPr>
          <w:rFonts w:ascii="Times New Roman" w:hAnsi="Times New Roman" w:eastAsia="MS Mincho"/>
          <w:b w:val="0"/>
          <w:i w:val="0"/>
          <w:sz w:val="20"/>
        </w:rPr>
        <w:t>CWON temporal holdout: in-sample (1995–2014) versus held-out (2015–2019) wealth residuals under M0, production-only, and joint identification.</w:t>
      </w:r>
    </w:p>
    <w:p>
      <w:pPr>
        <w:spacing w:after="120" w:line="360" w:lineRule="auto"/>
        <w:ind w:firstLine="480"/>
      </w:pPr>
      <w:r>
        <w:rPr>
          <w:rFonts w:ascii="Times New Roman" w:hAnsi="Times New Roman" w:eastAsia="MS Mincho"/>
          <w:b w:val="0"/>
          <w:i w:val="0"/>
          <w:sz w:val="20"/>
        </w:rPr>
        <w:t>To check that the agreement between the joint estimates and CWON is not purely a fitted artefact, we repeat the comparison under a strict temporal holdout. The joint parameters (</w:t>
      </w:r>
      <m:oMath xmlns:mml="http://www.w3.org/1998/Math/MathML">
        <m:box>
          <m:e>
            <m:acc>
              <m:accPr>
                <m:chr m:val="^"/>
              </m:accPr>
              <m:e>
                <m:r>
                  <m:rPr>
                    <m:sty m:val="i"/>
                  </m:rPr>
                  <m:t>μ</m:t>
                </m:r>
              </m:e>
            </m:acc>
          </m:e>
        </m:box>
      </m:oMath>
      <w:r>
        <w:rPr>
          <w:rFonts w:ascii="Times New Roman" w:hAnsi="Times New Roman" w:eastAsia="MS Mincho"/>
          <w:b w:val="0"/>
          <w:i w:val="0"/>
          <w:sz w:val="20"/>
        </w:rPr>
        <w:t xml:space="preserve">, </w:t>
      </w:r>
      <m:oMath xmlns:mml="http://www.w3.org/1998/Math/MathML">
        <m:box>
          <m:e>
            <m:acc>
              <m:accPr>
                <m:chr m:val="^"/>
              </m:accPr>
              <m:e>
                <m:r>
                  <m:rPr>
                    <m:sty m:val="i"/>
                  </m:rPr>
                  <m:t>β</m:t>
                </m:r>
              </m:e>
            </m:acc>
          </m:e>
        </m:box>
      </m:oMath>
      <w:r>
        <w:rPr>
          <w:rFonts w:ascii="Times New Roman" w:hAnsi="Times New Roman" w:eastAsia="MS Mincho"/>
          <w:b w:val="0"/>
          <w:i w:val="0"/>
          <w:sz w:val="20"/>
        </w:rPr>
        <w:t>) are estimated using production data through 2014 and only the 1995–2014 portion of the CWON wealth series; the level normalisation that aligns the model-implied log ratio with the reported CWON series is likewise fitted on 1995–2014 only. The resulting implied capital ratio is then compared against the 2015–2019 CWON observations, which enter neither the estimation nor the normalisation. Supplementary Figure 14 plots in-sample versus holdout wealth residuals for the three candidate constructions. The median holdout residual is 4.1 % under joint identification, versus 5.0 % for production-only estimates and 5.1 % for the M0 instant-PIM baseline; the joint model attains the smallest holdout residual in 23/39 of 39 countries. The holdout residuals are larger than the near-exact in-sample agreement seen for R&amp;D-intensive economies in Figure 2, so the in-sample correspondence should be read as descriptive rather than as an accuracy guarantee.</w:t>
      </w:r>
    </w:p>
    <w:sectPr w:rsidR="00FC693F" w:rsidRPr="0006063C" w:rsidSect="00034616">
      <w:footerReference w:type="default" r:id="rId23"/>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before="0"/>
      <w:jc w:val="center"/>
    </w:pPr>
    <w:r/>
    <w:fldSimple w:instr="PAGE \* MERGEFORMAT">
      <w: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