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="360" w:lineRule="auto"/>
        <w:ind w:firstLine="0"/>
        <w:jc w:val="left"/>
      </w:pPr>
      <w:r>
        <w:rPr>
          <w:rFonts w:ascii="Times New Roman" w:hAnsi="Times New Roman" w:eastAsia="MS Mincho"/>
          <w:b/>
          <w:i w:val="0"/>
          <w:sz w:val="24"/>
        </w:rPr>
        <w:t>Table 4. Extended OOS metrics: direction accuracy and CWON trajectory RMSE.</w:t>
      </w:r>
    </w:p>
    <w:tbl>
      <w:tblPr>
        <w:tblW w:type="auto" w:w="0"/>
        <w:tblStyle w:val="TableNormal"/>
        <w:tblBorders>
          <w:top w:val="single" w:sz="4" w:space="0" w:color="000000"/>
          <w:bottom w:val="single" w:sz="4" w:space="0" w:color="000000"/>
          <w:insideH w:val="single" w:sz="4" w:space="0" w:color="00000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rHeight w:val="500" w:hRule="atLeast"/>
        </w:trP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Model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Dir. acc. median (%)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Dir. acc. mean (%)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CWON RMSE median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CWON RMSE mean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N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M0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100.0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95.4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0.0085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0.0119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M1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100.0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95.9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0.0077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0.0114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M2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100.0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95.9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0.0072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0.0112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M3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100.0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95.4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0.0085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0.0119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  <w:tr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M4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100.0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95.4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0.0085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0.0111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