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360" w:lineRule="auto"/>
        <w:ind w:firstLine="0"/>
        <w:jc w:val="left"/>
      </w:pPr>
      <w:r>
        <w:rPr>
          <w:rFonts w:ascii="Times New Roman" w:hAnsi="Times New Roman" w:eastAsia="MS Mincho"/>
          <w:b/>
          <w:i w:val="0"/>
          <w:sz w:val="24"/>
        </w:rPr>
        <w:t>Table 7. Selected historical episodes: mean TFP growth under M0, M2, and M4.</w:t>
      </w:r>
    </w:p>
    <w:tbl>
      <w:tblPr>
        <w:tblW w:type="auto" w:w="0"/>
        <w:tblStyle w:val="TableNormal"/>
        <w:tblBorders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00" w:hRule="atLeast"/>
        </w:trPr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episode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country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period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M0_growth_pp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M2_growth_pp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M4_growth_pp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tempo_artifact_pp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joint_artifact_pp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artifact_share_pct</w:t>
            </w:r>
          </w:p>
        </w:tc>
      </w:tr>
      <w:tr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Korea, Asian crisis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Republic of Korea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1997-1999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1.74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0.47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1.27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1.52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72.98850574712644</w:t>
            </w:r>
          </w:p>
        </w:tc>
      </w:tr>
      <w:tr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States, global financial crisis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2007-2009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-0.38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-0.56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-0.61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0.18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0.2299999999999999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-47.36842105263159</w:t>
            </w:r>
          </w:p>
        </w:tc>
      </w:tr>
      <w:tr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States, dot-com boom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United States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1995-2000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1.68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1.82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1.75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-0.1400000000000001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-0.07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-8.333333333333341</w:t>
            </w:r>
          </w:p>
        </w:tc>
      </w:tr>
      <w:tr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Germany, global financial crisis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Germany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2007-2009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-2.38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-2.38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-2.46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0.08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</w:tr>
      <w:tr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Japan's 'lost decade'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1990-1999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-0.22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-0.22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-0.22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</w:tr>
      <w:tr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Japan, global financial crisis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Japan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2007-2009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-2.46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-2.46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-2.46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</w:t>
            </w:r>
          </w:p>
        </w:tc>
        <w:tc>
          <w:tcPr>
            <w:tcW w:type="dxa" w:w="960"/>
            <w:tcBorders>
              <w:top w:val="single" w:sz="4" w:space="0" w:color="000000"/>
              <w:bottom w:val="single" w:sz="4" w:space="0" w:color="000000"/>
            </w:tcBorders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-0.0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