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  <w:ind w:firstLine="0"/>
        <w:jc w:val="left"/>
      </w:pPr>
      <w:r>
        <w:rPr>
          <w:rFonts w:ascii="Times New Roman" w:hAnsi="Times New Roman" w:eastAsia="MS Mincho"/>
          <w:b/>
          <w:i w:val="0"/>
          <w:sz w:val="24"/>
        </w:rPr>
        <w:t>Table 7b. Leave-one-out robustness of selected historical episodes.</w:t>
      </w:r>
    </w:p>
    <w:tbl>
      <w:tblPr>
        <w:tblW w:type="auto" w:w="0"/>
        <w:tblStyle w:val="TableNormal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rPr>
          <w:trHeight w:val="500" w:hRule="atLeast"/>
        </w:trPr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excluded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n_remaining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mean_joint_artifact_pp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full_mean_joint_artifact_pp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delta_pp</w:t>
            </w:r>
          </w:p>
        </w:tc>
      </w:tr>
      <w:tr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Korea, Asian crisis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-0.25</w:t>
            </w:r>
          </w:p>
        </w:tc>
      </w:tr>
      <w:tr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States, global financial crisis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0.31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</w:t>
            </w:r>
          </w:p>
        </w:tc>
      </w:tr>
      <w:tr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States, dot-com boom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0.37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0.07</w:t>
            </w:r>
          </w:p>
        </w:tc>
      </w:tr>
      <w:tr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Germany, global financial crisis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</w:tr>
      <w:tr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Japan's 'lost decade'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</w:t>
            </w:r>
          </w:p>
        </w:tc>
      </w:tr>
      <w:tr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Japan, global financial crisis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728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