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Onishi Tatsuki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Data Science and AI Innovation Research Promotion Center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Shiga University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1-1-1, Bamba, Hikone, Shiga, 522-8522 Japan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Telephone: +81-749-27-1023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E-mail: bougtoir@gmail.com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ORCID: 0000-0001-7261-9062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16 October 2026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The Editors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/>
          <w:sz w:val="20"/>
        </w:rPr>
        <w:t>Oxford Bulletin of Economics and Statistics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Dear Editors,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I am pleased to submit for your consideration the enclosed manuscript, </w:t>
      </w:r>
      <w:r>
        <w:rPr>
          <w:rFonts w:ascii="Times New Roman" w:hAnsi="Times New Roman" w:eastAsia="MS Mincho"/>
          <w:b/>
          <w:i w:val="0"/>
          <w:sz w:val="20"/>
        </w:rPr>
        <w:t>"Investment Gestation Lags, Intangible Capital, and the Measurement of Capital and Productivity in 39 Economies"</w:t>
      </w:r>
      <w:r>
        <w:rPr>
          <w:rFonts w:ascii="Times New Roman" w:hAnsi="Times New Roman" w:eastAsia="MS Mincho"/>
          <w:b w:val="0"/>
          <w:i w:val="0"/>
          <w:sz w:val="20"/>
        </w:rPr>
        <w:t xml:space="preserve">, for publication in the </w:t>
      </w:r>
      <w:r>
        <w:rPr>
          <w:rFonts w:ascii="Times New Roman" w:hAnsi="Times New Roman" w:eastAsia="MS Mincho"/>
          <w:b w:val="0"/>
          <w:i/>
          <w:sz w:val="20"/>
        </w:rPr>
        <w:t>Oxford Bulletin of Economics and Statistics</w:t>
      </w:r>
      <w:r>
        <w:rPr>
          <w:rFonts w:ascii="Times New Roman" w:hAnsi="Times New Roman" w:eastAsia="MS Mincho"/>
          <w:b w:val="0"/>
          <w:i w:val="0"/>
          <w:sz w:val="20"/>
        </w:rPr>
        <w:t>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The paper addresses a practical measurement problem in applied growth and productivity analysis. Standard national-accounts capital construction treats investment as productive the moment it is spent and omits much of intangible investment from produced capital — two conventions that were defensible under the old investment mix and are increasingly hard to defend now that capital formation has shifted toward software, R&amp;D platforms, and other long-gestation assets. Because total factor productivity is computed as a residual, the resulting timing and coverage errors are absorbed into measured productivity and re-interpreted as technical change. I quantify both corrections jointly: a time-varying investment-to-output lag </w:t>
      </w:r>
      <m:oMath xmlns:mml="http://www.w3.org/1998/Math/MathML">
        <m:box>
          <m:e>
            <m:r>
              <m:rPr>
                <m:sty m:val="i"/>
              </m:rPr>
              <m:t>μ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MS Mincho"/>
          <w:b w:val="0"/>
          <w:i w:val="0"/>
          <w:sz w:val="20"/>
        </w:rPr>
        <w:t xml:space="preserve"> and a country-specific intangible-capital share </w:t>
      </w:r>
      <m:oMath xmlns:mml="http://www.w3.org/1998/Math/MathML">
        <m:box>
          <m:e>
            <m:r>
              <m:rPr>
                <m:sty m:val="i"/>
              </m:rPr>
              <m:t>β</m:t>
            </m:r>
          </m:e>
        </m:box>
      </m:oMath>
      <w:r>
        <w:rPr>
          <w:rFonts w:ascii="Times New Roman" w:hAnsi="Times New Roman" w:eastAsia="MS Mincho"/>
          <w:b w:val="0"/>
          <w:i w:val="0"/>
          <w:sz w:val="20"/>
        </w:rPr>
        <w:t>, estimated for 39 OECD and middle-income economies over 1970–2019, with the production and wealth accounts required to agree on the same parameters.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The manuscript sits directly in the line of work the </w:t>
      </w:r>
      <w:r>
        <w:rPr>
          <w:rFonts w:ascii="Times New Roman" w:hAnsi="Times New Roman" w:eastAsia="MS Mincho"/>
          <w:b w:val="0"/>
          <w:i/>
          <w:sz w:val="20"/>
        </w:rPr>
        <w:t>Bulletin</w:t>
      </w:r>
      <w:r>
        <w:rPr>
          <w:rFonts w:ascii="Times New Roman" w:hAnsi="Times New Roman" w:eastAsia="MS Mincho"/>
          <w:b w:val="0"/>
          <w:i w:val="0"/>
          <w:sz w:val="20"/>
        </w:rPr>
        <w:t xml:space="preserve"> has published on intangible capital and productivity measurement — dal Borgo, Goodridge, Haskel and Pesole's (2013) industry-level treatment of intangibles as investment, and Corrado, Haskel and Jona-Lasinio's (2017) analysis of intangible-capital spillovers across EU economies. Where those papers expand the </w:t>
      </w:r>
      <w:r>
        <w:rPr>
          <w:rFonts w:ascii="Times New Roman" w:hAnsi="Times New Roman" w:eastAsia="MS Mincho"/>
          <w:b w:val="0"/>
          <w:i/>
          <w:sz w:val="20"/>
        </w:rPr>
        <w:t>definition</w:t>
      </w:r>
      <w:r>
        <w:rPr>
          <w:rFonts w:ascii="Times New Roman" w:hAnsi="Times New Roman" w:eastAsia="MS Mincho"/>
          <w:b w:val="0"/>
          <w:i w:val="0"/>
          <w:sz w:val="20"/>
        </w:rPr>
        <w:t xml:space="preserve"> of investment, this paper adds the missing </w:t>
      </w:r>
      <w:r>
        <w:rPr>
          <w:rFonts w:ascii="Times New Roman" w:hAnsi="Times New Roman" w:eastAsia="MS Mincho"/>
          <w:b w:val="0"/>
          <w:i/>
          <w:sz w:val="20"/>
        </w:rPr>
        <w:t>timing</w:t>
      </w:r>
      <w:r>
        <w:rPr>
          <w:rFonts w:ascii="Times New Roman" w:hAnsi="Times New Roman" w:eastAsia="MS Mincho"/>
          <w:b w:val="0"/>
          <w:i w:val="0"/>
          <w:sz w:val="20"/>
        </w:rPr>
        <w:t xml:space="preserve"> dimension: treating the two omissions jointly shows that part of what measured capital — and hence the Solow residual — records is a gestation-lag artefact rather than genuine input or technical change.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The headline results are deliberately modest and reported with their uncertainty. Correcting the gestation-lag convention lowers measured capital by a median 4.3 per cent across the 35 countries with asset-type detail, raising log-level TFP and the implied labour share by a median 1.7 percentage points each. The joint production–wealth identification survives a strict temporal holdout on the wealth series: parameters fitted on 1995–2014 produce a smaller out-of-sample residual than the production-only alternative in 23 of 39 countries. The corresponding improvement in out-of-sample level accuracy (median MAPE 4.60 % to 3.99 %) is reported together with its non-significant Wilcoxon test, and bootstrap intervals are presented as interval rather than point identification. A parameter-free observable proxy built from OECD asset-composition data reproduces the direction of the fitted corrections, so the core adjustment can be replicated at negligible cost by any statistical agency or applied researcher.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I believe the paper suits the </w:t>
      </w:r>
      <w:r>
        <w:rPr>
          <w:rFonts w:ascii="Times New Roman" w:hAnsi="Times New Roman" w:eastAsia="MS Mincho"/>
          <w:b w:val="0"/>
          <w:i/>
          <w:sz w:val="20"/>
        </w:rPr>
        <w:t>Bulletin</w:t>
      </w:r>
      <w:r>
        <w:rPr>
          <w:rFonts w:ascii="Times New Roman" w:hAnsi="Times New Roman" w:eastAsia="MS Mincho"/>
          <w:b w:val="0"/>
          <w:i w:val="0"/>
          <w:sz w:val="20"/>
        </w:rPr>
        <w:t>'s readership precisely because the contribution is practical: it changes how applied economists should read capital stocks, TFP levels, labour shares, and flow–stock discrepancies in the public datasets the profession uses every day — PWT, CWON, WDI, and OECD GFCF — rather than proposing a new theoretical mechanism.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I confirm the following:</w:t>
      </w:r>
    </w:p>
    <w:p>
      <w:pPr>
        <w:spacing w:after="0" w:before="0" w:line="360" w:lineRule="auto"/>
      </w:pP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This work is original and has not been published elsewhere.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The manuscript is not under consideration by any other journal.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All data sources (Penn World Table 10.01; World Bank Changing Wealth of Nations; World Bank WDI; OECD GFCF) are publicly available; frozen extracts, code, and intermediate outputs are archived at https://github.com/bougtoir/gdp-tempo-paper, and a one-command pipeline regenerates every figure, table, and number in the manuscript.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am the sole author.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have no competing interests, financial or otherwise, related to this work.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used generative AI to assist with formatting the text, choosing words, and writing analysis code; this is documented in the Declarations section of the title page.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A title page with full author details and a Declarations section is included as a separate file.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I would be grateful for your consideration.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Yours sincerely,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Onishi Tatsuki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Data Science and AI Innovation Research Promotion Center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Shiga University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bougtoir@gmail.com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