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</w:pPr>
      <w:r>
        <w:rPr>
          <w:rFonts w:ascii="Times New Roman" w:hAnsi="Times New Roman" w:eastAsia="MS Mincho"/>
          <w:b/>
          <w:i w:val="0"/>
          <w:sz w:val="24"/>
        </w:rPr>
        <w:t>Highlights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Investment gestation lags and omitted intangibles bias measured capital and TFP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Joint estimation of lag and intangible share reconciles flow and stock accounts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A parameter-free OECD asset-composition proxy validates the tempo correction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Median revisions: capital -4.3%, log TFP +1.7 pp, labour share +1.7 pp</w:t>
      </w:r>
    </w:p>
    <w:p>
      <w:pPr>
        <w:spacing w:after="40" w:line="360" w:lineRule="auto"/>
        <w:ind w:left="720" w:hanging="360"/>
      </w:pPr>
      <w:r>
        <w:rPr>
          <w:rFonts w:ascii="Times New Roman" w:hAnsi="Times New Roman" w:eastAsia="MS Mincho"/>
          <w:b w:val="0"/>
          <w:i w:val="0"/>
          <w:sz w:val="20"/>
        </w:rPr>
        <w:t xml:space="preserve">•  </w:t>
      </w:r>
      <w:r>
        <w:rPr>
          <w:rFonts w:ascii="Times New Roman" w:hAnsi="Times New Roman" w:eastAsia="MS Mincho"/>
          <w:b w:val="0"/>
          <w:i w:val="0"/>
          <w:sz w:val="20"/>
        </w:rPr>
        <w:t>Corrections concentrate where investment shifted to long-gestation assets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