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left"/>
      </w:pPr>
      <w:r>
        <w:rPr>
          <w:rFonts w:ascii="Times New Roman" w:hAnsi="Times New Roman" w:eastAsia="MS Mincho"/>
          <w:b/>
          <w:i w:val="0"/>
          <w:sz w:val="24"/>
        </w:rPr>
        <w:t>Table 4. Extended OOS metrics: direction accuracy and CWON trajectory RMSE.</w:t>
      </w:r>
    </w:p>
    <w:tbl>
      <w:tblPr>
        <w:tblW w:type="auto" w:w="0"/>
        <w:tblStyle w:val="TableNormal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00" w:hRule="atLeast"/>
        </w:trP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Model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Dir. acc. median (%)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Dir. acc. mean (%)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CWON RMSE median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CWON RMSE mean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N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M0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100.0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95.4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0.0085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0.0119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39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M1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100.0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95.9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0.0077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0.0114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39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M2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100.0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95.9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0.0072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0.0112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39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M3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100.0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95.4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0.0085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0.0119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39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M4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100.0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95.4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0.0085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0.0111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