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360" w:lineRule="auto"/>
        <w:ind w:firstLine="0"/>
        <w:jc w:val="left"/>
      </w:pPr>
      <w:r>
        <w:rPr>
          <w:rFonts w:ascii="Times New Roman" w:hAnsi="Times New Roman" w:eastAsia="MS Mincho"/>
          <w:b/>
          <w:i w:val="0"/>
          <w:sz w:val="24"/>
        </w:rPr>
        <w:t>Table 8. Counterfactual wealth adjustments when the intangible share beta enters official statistics, with 1.5×–3× R&amp;D-based intangible proxies.</w:t>
      </w:r>
    </w:p>
    <w:tbl>
      <w:tblPr>
        <w:tblW w:type="auto" w:w="0"/>
        <w:tblStyle w:val="TableNormal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rPr>
          <w:trHeight w:val="500" w:hRule="atLeast"/>
        </w:trP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country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iso3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beta_j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cwon_pca_official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cwon_pca_adjusted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pca_gap_pct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pca_gap_pct_1_5x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pca_gap_pct_2_0x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pca_gap_pct_3_0x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cwon_tow_official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cwon_tow_adjusted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tow_gap_pct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tow_gap_pct_1_5x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tow_gap_pct_2_0x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tow_gap_pct_3_0x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intan_ratio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Netherlands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NLD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2.77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11.01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31.42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31.52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Norway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NOR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5.98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6.0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China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CHN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24.93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25.15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113.66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113.88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Australia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AUS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8.41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8.48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21.49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21.56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Belgium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BEL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1.62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1.63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5.18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5.19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Hungary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HUN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1.12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1.12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Italy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ITA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5.21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5.23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15.11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15.14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New Zealand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NZL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1.18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1.18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2.96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2.97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Switzerland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CHE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3.41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3.42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10.38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10.39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Iceland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ISL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0.03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Greece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GRC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1.12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1.12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Luxembourg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LUX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Germany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DEU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16.64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16.7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48.78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48.84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Canada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CAN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7.02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7.03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21.69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21.7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Spain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ESP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3.18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3.18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10.17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10.17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Mexico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MEX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2.63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2.63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8.3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8.3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Turkey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TUR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0.65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0.65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4.15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Portugal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PRT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1.64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1.64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0.08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0.57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3.06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</w:tr>
      <w:tr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Costa Rica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CRI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0.02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0.09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0.63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0.63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5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0.01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