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pPr>
    </w:p>
    <w:p>
      <w:pPr>
        <w:spacing w:before="360" w:after="120" w:line="360" w:lineRule="auto"/>
        <w:ind w:firstLine="0"/>
        <w:jc w:val="center"/>
      </w:pPr>
      <w:r>
        <w:rPr>
          <w:rFonts w:ascii="Times New Roman" w:hAnsi="Times New Roman" w:eastAsia="MS Mincho"/>
          <w:b/>
          <w:i w:val="0"/>
          <w:sz w:val="32"/>
        </w:rPr>
        <w:t>Investment Gestation Lags, Intangible Capital, and the Measurement of Capital and Productivity in 39 Economies</w:t>
      </w:r>
    </w:p>
    <w:p>
      <w:pPr>
        <w:spacing w:after="0" w:before="0" w:line="360" w:lineRule="auto"/>
      </w:pPr>
    </w:p>
    <w:p>
      <w:pPr>
        <w:spacing w:after="120" w:line="360" w:lineRule="auto"/>
        <w:ind w:firstLine="480"/>
      </w:pPr>
      <w:r>
        <w:rPr>
          <w:rFonts w:ascii="Times New Roman" w:hAnsi="Times New Roman" w:eastAsia="MS Mincho"/>
          <w:b/>
          <w:i w:val="0"/>
          <w:sz w:val="20"/>
        </w:rPr>
        <w:t>Onishi Tatsuki</w:t>
      </w:r>
    </w:p>
    <w:p>
      <w:pPr>
        <w:spacing w:after="0" w:before="0" w:line="360" w:lineRule="auto"/>
      </w:pPr>
    </w:p>
    <w:p>
      <w:pPr>
        <w:spacing w:after="120" w:line="360" w:lineRule="auto"/>
        <w:ind w:firstLine="480"/>
      </w:pPr>
      <w:r>
        <w:rPr>
          <w:rFonts w:ascii="Times New Roman" w:hAnsi="Times New Roman" w:eastAsia="MS Mincho"/>
          <w:b w:val="0"/>
          <w:i w:val="0"/>
          <w:sz w:val="20"/>
        </w:rPr>
        <w:t>Data Science and AI Innovation Research Promotion Center, Shiga University</w:t>
      </w:r>
    </w:p>
    <w:p>
      <w:pPr>
        <w:spacing w:after="0" w:before="0" w:line="360" w:lineRule="auto"/>
      </w:pPr>
    </w:p>
    <w:p>
      <w:pPr>
        <w:spacing w:after="120" w:line="360" w:lineRule="auto"/>
        <w:ind w:firstLine="480"/>
      </w:pPr>
      <w:r>
        <w:rPr>
          <w:rFonts w:ascii="Times New Roman" w:hAnsi="Times New Roman" w:eastAsia="MS Mincho"/>
          <w:b w:val="0"/>
          <w:i w:val="0"/>
          <w:sz w:val="20"/>
        </w:rPr>
        <w:t>1-1-1, Bamba, Hikone, Shiga, 522-8522 Japan, Telephone: +81-749-27-1023, E-mail: bougtoir@gmail.com, ORCID: 0000-0001-7261-9062</w:t>
      </w:r>
    </w:p>
    <w:p>
      <w:pPr>
        <w:spacing w:after="0" w:before="0" w:line="360" w:lineRule="auto"/>
      </w:pPr>
    </w:p>
    <w:p>
      <w:pPr>
        <w:spacing w:after="120" w:line="360" w:lineRule="auto"/>
        <w:ind w:firstLine="480"/>
      </w:pPr>
      <w:r>
        <w:rPr>
          <w:rFonts w:ascii="Times New Roman" w:hAnsi="Times New Roman" w:eastAsia="MS Mincho"/>
          <w:b/>
          <w:i w:val="0"/>
          <w:sz w:val="20"/>
        </w:rPr>
        <w:t>Abstract.</w:t>
      </w:r>
      <w:r>
        <w:rPr>
          <w:rFonts w:ascii="Times New Roman" w:hAnsi="Times New Roman" w:eastAsia="MS Mincho"/>
          <w:b w:val="0"/>
          <w:i w:val="0"/>
          <w:sz w:val="20"/>
        </w:rPr>
        <w:t xml:space="preserve"> Conventional growth accounting treats the investment-to-output lag as constant and negligible and omits intangible investment from produced capital. We jointly estimate a time-varying gestation lag and a country-specific intangible share for 39 economies over 1970–2019, reconciling production and wealth accounts. Correcting the lag raises log-level TFP and the implied labour share by a median 1.7 percentage points each; the intangible correction raises capital by up to 1.1 per cent. An observable, parameter-free tempo proxy corroborates the fitted lag.</w:t>
      </w:r>
    </w:p>
    <w:p>
      <w:pPr>
        <w:spacing w:after="0" w:before="0" w:line="360" w:lineRule="auto"/>
      </w:pPr>
    </w:p>
    <w:p>
      <w:pPr>
        <w:spacing w:after="120" w:line="360" w:lineRule="auto"/>
        <w:ind w:firstLine="480"/>
      </w:pPr>
      <w:r>
        <w:rPr>
          <w:rFonts w:ascii="Times New Roman" w:hAnsi="Times New Roman" w:eastAsia="MS Mincho"/>
          <w:b/>
          <w:i w:val="0"/>
          <w:sz w:val="20"/>
        </w:rPr>
        <w:t>Keywords</w:t>
      </w:r>
      <w:r>
        <w:rPr>
          <w:rFonts w:ascii="Times New Roman" w:hAnsi="Times New Roman" w:eastAsia="MS Mincho"/>
          <w:b w:val="0"/>
          <w:i w:val="0"/>
          <w:sz w:val="20"/>
        </w:rPr>
        <w:t>: Solow residual; time-to-build; intangible capital; growth accounting; structural change; productivity measurement.</w:t>
      </w:r>
    </w:p>
    <w:p>
      <w:pPr>
        <w:spacing w:after="0" w:before="0" w:line="360" w:lineRule="auto"/>
      </w:pPr>
    </w:p>
    <w:p>
      <w:pPr>
        <w:spacing w:after="120" w:line="360" w:lineRule="auto"/>
        <w:ind w:firstLine="480"/>
      </w:pPr>
      <w:r>
        <w:rPr>
          <w:rFonts w:ascii="Times New Roman" w:hAnsi="Times New Roman" w:eastAsia="MS Mincho"/>
          <w:b/>
          <w:i w:val="0"/>
          <w:sz w:val="20"/>
        </w:rPr>
        <w:t>Word count (text + figure/table equivalents)</w:t>
      </w:r>
      <w:r>
        <w:rPr>
          <w:rFonts w:ascii="Times New Roman" w:hAnsi="Times New Roman" w:eastAsia="MS Mincho"/>
          <w:b w:val="0"/>
          <w:i w:val="0"/>
          <w:sz w:val="20"/>
        </w:rPr>
        <w:t>: approximately 11,400 (main text including references ≈ 9,100 words; 5 figures and 2 tables ≈ 2,250 word-equivalents at 250–500 per item).</w:t>
      </w:r>
    </w:p>
    <w:p>
      <w:pPr>
        <w:spacing w:after="0" w:before="0" w:line="360" w:lineRule="auto"/>
      </w:pPr>
    </w:p>
    <w:p>
      <w:pPr>
        <w:spacing w:after="120" w:line="360" w:lineRule="auto"/>
        <w:ind w:firstLine="480"/>
      </w:pPr>
      <w:r>
        <w:rPr>
          <w:rFonts w:ascii="Times New Roman" w:hAnsi="Times New Roman" w:eastAsia="MS Mincho"/>
          <w:b/>
          <w:i w:val="0"/>
          <w:sz w:val="20"/>
        </w:rPr>
        <w:t>Declarations</w:t>
      </w:r>
    </w:p>
    <w:p>
      <w:pPr>
        <w:spacing w:after="0" w:before="0" w:line="360" w:lineRule="auto"/>
      </w:pPr>
    </w:p>
    <w:p>
      <w:pPr>
        <w:spacing w:after="120" w:line="360" w:lineRule="auto"/>
        <w:ind w:firstLine="480"/>
      </w:pPr>
      <w:r>
        <w:rPr>
          <w:rFonts w:ascii="Times New Roman" w:hAnsi="Times New Roman" w:eastAsia="MS Mincho"/>
          <w:b w:val="0"/>
          <w:i/>
          <w:sz w:val="20"/>
        </w:rPr>
        <w:t>Competing interests.</w:t>
      </w:r>
      <w:r>
        <w:rPr>
          <w:rFonts w:ascii="Times New Roman" w:hAnsi="Times New Roman" w:eastAsia="MS Mincho"/>
          <w:b w:val="0"/>
          <w:i w:val="0"/>
          <w:sz w:val="20"/>
        </w:rPr>
        <w:t xml:space="preserve"> The author declares no competing interests.</w:t>
      </w:r>
    </w:p>
    <w:p>
      <w:pPr>
        <w:spacing w:after="0" w:before="0" w:line="360" w:lineRule="auto"/>
      </w:pPr>
    </w:p>
    <w:p>
      <w:pPr>
        <w:spacing w:after="120" w:line="360" w:lineRule="auto"/>
        <w:ind w:firstLine="480"/>
      </w:pPr>
      <w:r>
        <w:rPr>
          <w:rFonts w:ascii="Times New Roman" w:hAnsi="Times New Roman" w:eastAsia="MS Mincho"/>
          <w:b w:val="0"/>
          <w:i/>
          <w:sz w:val="20"/>
        </w:rPr>
        <w:t>Consent to participate.</w:t>
      </w:r>
      <w:r>
        <w:rPr>
          <w:rFonts w:ascii="Times New Roman" w:hAnsi="Times New Roman" w:eastAsia="MS Mincho"/>
          <w:b w:val="0"/>
          <w:i w:val="0"/>
          <w:sz w:val="20"/>
        </w:rPr>
        <w:t xml:space="preserve"> Not applicable.</w:t>
      </w:r>
    </w:p>
    <w:p>
      <w:pPr>
        <w:spacing w:after="0" w:before="0" w:line="360" w:lineRule="auto"/>
      </w:pPr>
    </w:p>
    <w:p>
      <w:pPr>
        <w:spacing w:after="120" w:line="360" w:lineRule="auto"/>
        <w:ind w:firstLine="480"/>
      </w:pPr>
      <w:r>
        <w:rPr>
          <w:rFonts w:ascii="Times New Roman" w:hAnsi="Times New Roman" w:eastAsia="MS Mincho"/>
          <w:b w:val="0"/>
          <w:i/>
          <w:sz w:val="20"/>
        </w:rPr>
        <w:t>Consent to publish.</w:t>
      </w:r>
      <w:r>
        <w:rPr>
          <w:rFonts w:ascii="Times New Roman" w:hAnsi="Times New Roman" w:eastAsia="MS Mincho"/>
          <w:b w:val="0"/>
          <w:i w:val="0"/>
          <w:sz w:val="20"/>
        </w:rPr>
        <w:t xml:space="preserve"> Not applicable.</w:t>
      </w:r>
    </w:p>
    <w:p>
      <w:pPr>
        <w:spacing w:after="0" w:before="0" w:line="360" w:lineRule="auto"/>
      </w:pPr>
    </w:p>
    <w:p>
      <w:pPr>
        <w:spacing w:after="120" w:line="360" w:lineRule="auto"/>
        <w:ind w:firstLine="480"/>
      </w:pPr>
      <w:r>
        <w:rPr>
          <w:rFonts w:ascii="Times New Roman" w:hAnsi="Times New Roman" w:eastAsia="MS Mincho"/>
          <w:b w:val="0"/>
          <w:i/>
          <w:sz w:val="20"/>
        </w:rPr>
        <w:t>Data and code availability.</w:t>
      </w:r>
      <w:r>
        <w:rPr>
          <w:rFonts w:ascii="Times New Roman" w:hAnsi="Times New Roman" w:eastAsia="MS Mincho"/>
          <w:b w:val="0"/>
          <w:i w:val="0"/>
          <w:sz w:val="20"/>
        </w:rPr>
        <w:t xml:space="preserve"> Penn World Table 10.01, World Bank CWON, World Bank WDI, and OECD GFCF data used in this study are publicly available from their respective providers. Frozen source extracts, checksums, analysis scripts, intermediate results, and manuscript sources are archived at https://github.com/bougtoir/gdp-tempo-paper.</w:t>
      </w:r>
    </w:p>
    <w:p>
      <w:pPr>
        <w:spacing w:after="0" w:before="0" w:line="360" w:lineRule="auto"/>
      </w:pPr>
    </w:p>
    <w:p>
      <w:pPr>
        <w:spacing w:after="120" w:line="360" w:lineRule="auto"/>
        <w:ind w:firstLine="480"/>
      </w:pPr>
      <w:r>
        <w:rPr>
          <w:rFonts w:ascii="Times New Roman" w:hAnsi="Times New Roman" w:eastAsia="MS Mincho"/>
          <w:b w:val="0"/>
          <w:i/>
          <w:sz w:val="20"/>
        </w:rPr>
        <w:t>Declaration of generative AI use.</w:t>
      </w:r>
      <w:r>
        <w:rPr>
          <w:rFonts w:ascii="Times New Roman" w:hAnsi="Times New Roman" w:eastAsia="MS Mincho"/>
          <w:b w:val="0"/>
          <w:i w:val="0"/>
          <w:sz w:val="20"/>
        </w:rPr>
        <w:t xml:space="preserve"> The author used generative AI to assist with formatting the text, choosing words that suited the tone, and writing analysis code. The author reviewed and edited the content as needed and takes full responsibility for the content of the published article.</w:t>
      </w:r>
    </w:p>
    <w:p>
      <w:pPr>
        <w:spacing w:after="0" w:before="0" w:line="360" w:lineRule="auto"/>
      </w:pPr>
    </w:p>
    <w:p>
      <w:pPr>
        <w:spacing w:after="120" w:line="360" w:lineRule="auto"/>
        <w:ind w:firstLine="480"/>
      </w:pPr>
      <w:r>
        <w:rPr>
          <w:rFonts w:ascii="Times New Roman" w:hAnsi="Times New Roman" w:eastAsia="MS Mincho"/>
          <w:b w:val="0"/>
          <w:i/>
          <w:sz w:val="20"/>
        </w:rPr>
        <w:t>Ethics approval.</w:t>
      </w:r>
      <w:r>
        <w:rPr>
          <w:rFonts w:ascii="Times New Roman" w:hAnsi="Times New Roman" w:eastAsia="MS Mincho"/>
          <w:b w:val="0"/>
          <w:i w:val="0"/>
          <w:sz w:val="20"/>
        </w:rPr>
        <w:t xml:space="preserve"> This research uses publicly available, aggregate macroeconomic data (Penn World Table 10.01, World Bank CWON, World Bank WDI, OECD GFCF). No human subjects, animals, or personally identifiable data were involved. Ethical approval was not required.</w:t>
      </w:r>
    </w:p>
    <w:p>
      <w:pPr>
        <w:spacing w:after="0" w:before="0" w:line="360" w:lineRule="auto"/>
      </w:pPr>
    </w:p>
    <w:p>
      <w:pPr>
        <w:spacing w:after="120" w:line="360" w:lineRule="auto"/>
        <w:ind w:firstLine="480"/>
      </w:pPr>
      <w:r>
        <w:rPr>
          <w:rFonts w:ascii="Times New Roman" w:hAnsi="Times New Roman" w:eastAsia="MS Mincho"/>
          <w:b w:val="0"/>
          <w:i/>
          <w:sz w:val="20"/>
        </w:rPr>
        <w:t>Funding.</w:t>
      </w:r>
      <w:r>
        <w:rPr>
          <w:rFonts w:ascii="Times New Roman" w:hAnsi="Times New Roman" w:eastAsia="MS Mincho"/>
          <w:b w:val="0"/>
          <w:i w:val="0"/>
          <w:sz w:val="20"/>
        </w:rPr>
        <w:t xml:space="preserve"> No external funding was received for this research.</w:t>
      </w:r>
    </w:p>
    <w:p>
      <w:pPr>
        <w:spacing w:after="0" w:before="0" w:line="360" w:lineRule="auto"/>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