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line="360" w:lineRule="auto"/>
        <w:ind w:firstLine="0"/>
        <w:jc w:val="center"/>
      </w:pPr>
      <w:r>
        <w:rPr>
          <w:rFonts w:ascii="Times New Roman" w:hAnsi="Times New Roman" w:eastAsia="MS Mincho"/>
          <w:b/>
          <w:i w:val="0"/>
          <w:sz w:val="32"/>
        </w:rPr>
        <w:t>Investment Gestation Lags, Intangible Capital, and the Measurement of Capital and Productivity in 39 Economies</w:t>
      </w:r>
    </w:p>
    <w:p>
      <w:pPr>
        <w:spacing w:after="120" w:line="360" w:lineRule="auto"/>
        <w:ind w:firstLine="480"/>
      </w:pPr>
      <w:r>
        <w:rPr>
          <w:rFonts w:ascii="Times New Roman" w:hAnsi="Times New Roman" w:eastAsia="MS Mincho"/>
          <w:b/>
          <w:i w:val="0"/>
          <w:sz w:val="20"/>
        </w:rPr>
        <w:t>Abstract.</w:t>
      </w:r>
      <w:r>
        <w:rPr>
          <w:rFonts w:ascii="Times New Roman" w:hAnsi="Times New Roman" w:eastAsia="MS Mincho"/>
          <w:b w:val="0"/>
          <w:i w:val="0"/>
          <w:sz w:val="20"/>
        </w:rPr>
        <w:t xml:space="preserve"> Conventional growth accounting attributes variation in aggregate output to total factor productivity (TFP). We show that part of the Solow residual is attributable to two conventions routinely imposed at zero: the mean gestation lag between investment and output is treated as constant and negligible, and produced capital omits intangible investment. Both conventions have become less tenable as investment composition has shifted toward long-gestation, intangible assets. We jointly estimate a time-varying investment-to-output lag,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and a country-specific intangible-capital share, </w:t>
      </w:r>
      <m:oMath xmlns:mml="http://www.w3.org/1998/Math/MathML">
        <m:box>
          <m:e>
            <m:r>
              <m:rPr>
                <m:sty m:val="i"/>
              </m:rPr>
              <m:t>β</m:t>
            </m:r>
          </m:e>
        </m:box>
      </m:oMath>
      <w:r>
        <w:rPr>
          <w:rFonts w:ascii="Times New Roman" w:hAnsi="Times New Roman" w:eastAsia="MS Mincho"/>
          <w:b w:val="0"/>
          <w:i w:val="0"/>
          <w:sz w:val="20"/>
        </w:rPr>
        <w:t>, for 39 OECD and middle-income economies over 1970–2019, requiring the same parameters to reconcile the production account with the wealth account. The joint estimates narrow the discrepancy between production-side and wealth-side capital series — most visibly in R&amp;D-intensive economies — and survive a strict temporal holdout on the wealth series: fitted on 1995–2014, the joint model's out-of-sample wealth residual is smaller than the production-only alternative in 23 of 39 countries. Correcting the gestation-lag bias raises log-level TFP by a median 1.7 percentage points and the implied labour share by 1.7 percentage points; the additional intangible-capital correction raises produced capital by up to 1.1 per cent in research-intensive economies. The tempo correction is corroborated by an observable, parameter-free proxy constructed from OECD asset-composition data for the 35 countries with asset-type detail. Because bootstrap intervals are wide for countries with short or volatile series, we report interval rather than point identification and treat the corrections as bounds, not re-estimates, of official statistics. The magnitudes are modest but systematic, and they are concentrated where investment has shifted most toward long-gestation assets — a direct measurement consequence of structural change in the composition of capital formation.</w:t>
      </w:r>
    </w:p>
    <w:p>
      <w:pPr>
        <w:spacing w:after="120" w:line="360" w:lineRule="auto"/>
        <w:ind w:firstLine="480"/>
      </w:pPr>
      <w:r>
        <w:rPr>
          <w:rFonts w:ascii="Times New Roman" w:hAnsi="Times New Roman" w:eastAsia="MS Mincho"/>
          <w:b/>
          <w:i w:val="0"/>
          <w:sz w:val="20"/>
        </w:rPr>
        <w:t>Keywords</w:t>
      </w:r>
      <w:r>
        <w:rPr>
          <w:rFonts w:ascii="Times New Roman" w:hAnsi="Times New Roman" w:eastAsia="MS Mincho"/>
          <w:b w:val="0"/>
          <w:i w:val="0"/>
          <w:sz w:val="20"/>
        </w:rPr>
        <w:t>: Solow residual; time-to-build; intangible capital; growth accounting; structural change; productivity measurement.</w:t>
      </w:r>
    </w:p>
    <w:p>
      <w:pPr>
        <w:spacing w:after="120" w:line="360" w:lineRule="auto"/>
        <w:ind w:firstLine="480"/>
      </w:pPr>
      <w:r>
        <w:rPr>
          <w:rFonts w:ascii="Times New Roman" w:hAnsi="Times New Roman" w:eastAsia="MS Mincho"/>
          <w:b/>
          <w:i w:val="0"/>
          <w:sz w:val="20"/>
        </w:rPr>
        <w:t>JEL codes</w:t>
      </w:r>
      <w:r>
        <w:rPr>
          <w:rFonts w:ascii="Times New Roman" w:hAnsi="Times New Roman" w:eastAsia="MS Mincho"/>
          <w:b w:val="0"/>
          <w:i w:val="0"/>
          <w:sz w:val="20"/>
        </w:rPr>
        <w:t>: E01, E22, O33, O47.</w:t>
      </w:r>
    </w:p>
    <w:p>
      <w:pPr>
        <w:spacing w:before="360" w:after="120" w:line="360" w:lineRule="auto"/>
        <w:ind w:firstLine="0"/>
        <w:jc w:val="left"/>
      </w:pPr>
      <w:r>
        <w:rPr>
          <w:rFonts w:ascii="Times New Roman" w:hAnsi="Times New Roman" w:eastAsia="MS Mincho"/>
          <w:b/>
          <w:i w:val="0"/>
          <w:sz w:val="24"/>
        </w:rPr>
        <w:t>1 Introduction</w:t>
      </w:r>
    </w:p>
    <w:p>
      <w:pPr>
        <w:spacing w:after="120" w:line="360" w:lineRule="auto"/>
        <w:ind w:firstLine="480"/>
      </w:pPr>
      <w:r>
        <w:rPr>
          <w:rFonts w:ascii="Times New Roman" w:hAnsi="Times New Roman" w:eastAsia="MS Mincho"/>
          <w:b w:val="0"/>
          <w:i w:val="0"/>
          <w:sz w:val="20"/>
        </w:rPr>
        <w:t>The composition of investment has undergone a structural shift. Across the advanced and middle-income economies, the share of gross fixed capital formation accounted for by plant and machinery has declined, while the shares of software, research and development, and other intellectual-property products have risen steadily since the 1980s. These newer assets differ from their predecessors not only in whether they appear in official capital accounts, but in how long they take to become productive: a factory shell and a multi-year software platform embody very different gestation periods. National-accounts capital construction, however, still rests on conventions calibrated to the earlier investment mix — investment is treated as productive the moment it is spent, and produced capital omits much of intangible investment.</w:t>
      </w:r>
    </w:p>
    <w:p>
      <w:pPr>
        <w:spacing w:after="120" w:line="360" w:lineRule="auto"/>
        <w:ind w:firstLine="480"/>
      </w:pPr>
      <w:r>
        <w:rPr>
          <w:rFonts w:ascii="Times New Roman" w:hAnsi="Times New Roman" w:eastAsia="MS Mincho"/>
          <w:b w:val="0"/>
          <w:i w:val="0"/>
          <w:sz w:val="20"/>
        </w:rPr>
        <w:t>This paper asks what those conventions do to measured capital and productivity. Total factor productivity (TFP) is computed as a residual, so any systematic mis-timing or omission in the capital stock is absorbed into TFP and re-interpreted as innovation. We show that a measurable share of the Solow residual reflects two conventions standard growth accounting imposes at zero: the lag between investment and output is treated as constant and negligible, and produced capital omits intangible investment. Both conventions were defensible when economies invested mainly in plant and equipment; they become harder to defend now that investment has shifted toward software, cloud infrastructure, pharmaceutical R&amp;D, and complex engineering systems.</w:t>
      </w:r>
    </w:p>
    <w:p>
      <w:pPr>
        <w:spacing w:after="120" w:line="360" w:lineRule="auto"/>
        <w:ind w:firstLine="480"/>
      </w:pPr>
      <w:r>
        <w:rPr>
          <w:rFonts w:ascii="Times New Roman" w:hAnsi="Times New Roman" w:eastAsia="MS Mincho"/>
          <w:b w:val="0"/>
          <w:i w:val="0"/>
          <w:sz w:val="20"/>
        </w:rPr>
        <w:t xml:space="preserve">This paper makes three contributions. First, it estimates a time-varying investment-to-output lag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for a broad set of countries and shows that the standard PIM capital stock is systematically mis-timed as a result. Second, it recovers a country-specific intangible-capital share </w:t>
      </w:r>
      <m:oMath xmlns:mml="http://www.w3.org/1998/Math/MathML">
        <m:box>
          <m:e>
            <m:r>
              <m:rPr>
                <m:sty m:val="i"/>
              </m:rPr>
              <m:t>β</m:t>
            </m:r>
          </m:e>
        </m:box>
      </m:oMath>
      <w:r>
        <w:rPr>
          <w:rFonts w:ascii="Times New Roman" w:hAnsi="Times New Roman" w:eastAsia="MS Mincho"/>
          <w:b w:val="0"/>
          <w:i w:val="0"/>
          <w:sz w:val="20"/>
        </w:rPr>
        <w:t xml:space="preserve"> by jointly disciplining production-side growth residuals and wealth-side capital trajectories. Third, it provides an observable, parameter-free tempo proxy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 built from existing OECD asset-composition data — that reproduces the direction of the fitted corrections without any statistical estimation. Methodologically, the paper borrows the tempo-and-quantum framework developed for fertility measurement by Bongaarts and Feeney (1998).</w:t>
      </w:r>
    </w:p>
    <w:p>
      <w:pPr>
        <w:spacing w:after="120" w:line="360" w:lineRule="auto"/>
        <w:ind w:firstLine="480"/>
      </w:pPr>
      <w:r>
        <w:rPr>
          <w:rFonts w:ascii="Times New Roman" w:hAnsi="Times New Roman" w:eastAsia="MS Mincho"/>
          <w:b w:val="0"/>
          <w:i w:val="0"/>
          <w:sz w:val="20"/>
        </w:rPr>
        <w:t xml:space="preserve">The measurement error has a specific, quantifiable source. Conventional growth accounting imposes at zero the time-varying lag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and the intangible capital share </w:t>
      </w:r>
      <m:oMath xmlns:mml="http://www.w3.org/1998/Math/MathML">
        <m:box>
          <m:e>
            <m:r>
              <m:rPr>
                <m:sty m:val="i"/>
              </m:rPr>
              <m:t>β</m:t>
            </m:r>
            <m:r>
              <m:rPr>
                <m:sty m:val="p"/>
              </m:rPr>
              <m:t>.</m:t>
            </m:r>
          </m:e>
        </m:box>
      </m:oMath>
      <w:r>
        <w:rPr>
          <w:rFonts w:ascii="Times New Roman" w:hAnsi="Times New Roman" w:eastAsia="MS Mincho"/>
          <w:b w:val="0"/>
          <w:i w:val="0"/>
          <w:sz w:val="20"/>
        </w:rPr>
        <w:t xml:space="preserve"> While time-to-build has been studied since Kydland and Prescott (1982), all prior work treats the lag as fixed across decades. Yet the composition of investment has shifted toward long-lead assets — custom software, R&amp;D platforms, and complex engineering systems — whose gestation periods differ by nearly an order of magnitude from the plant and equipment on which the foundational lag literature was calibrated (OECD, 2013; Corrado et al., 2020). When </w:t>
      </w:r>
      <m:oMath xmlns:mml="http://www.w3.org/1998/Math/MathML">
        <m:box>
          <m:e>
            <m:r>
              <m:rPr>
                <m:sty m:val="i"/>
              </m:rPr>
              <m:t>μ</m:t>
            </m:r>
          </m:e>
        </m:box>
      </m:oMath>
      <w:r>
        <w:rPr>
          <w:rFonts w:ascii="Times New Roman" w:hAnsi="Times New Roman" w:eastAsia="MS Mincho"/>
          <w:b w:val="0"/>
          <w:i w:val="0"/>
          <w:sz w:val="20"/>
        </w:rPr>
        <w:t xml:space="preserve"> is rising but treated as zero, the PIM capital stock is mis-timed and the Solow residual absorbs the error. The parameter </w:t>
      </w:r>
      <m:oMath xmlns:mml="http://www.w3.org/1998/Math/MathML">
        <m:box>
          <m:e>
            <m:r>
              <m:rPr>
                <m:sty m:val="i"/>
              </m:rPr>
              <m:t>β</m:t>
            </m:r>
          </m:e>
        </m:box>
      </m:oMath>
      <w:r>
        <w:rPr>
          <w:rFonts w:ascii="Times New Roman" w:hAnsi="Times New Roman" w:eastAsia="MS Mincho"/>
          <w:b w:val="0"/>
          <w:i w:val="0"/>
          <w:sz w:val="20"/>
        </w:rPr>
        <w:t xml:space="preserve"> captures the broader intangible capital share that Corrado et al. (2005, 2009) have shown is quantitatively large, yet official wealth accounts — including CWON (Lange et al., 2021) — capture only partially. When </w:t>
      </w:r>
      <m:oMath xmlns:mml="http://www.w3.org/1998/Math/MathML">
        <m:box>
          <m:e>
            <m:r>
              <m:rPr>
                <m:sty m:val="i"/>
              </m:rPr>
              <m:t>β</m:t>
            </m:r>
          </m:e>
        </m:box>
      </m:oMath>
      <w:r>
        <w:rPr>
          <w:rFonts w:ascii="Times New Roman" w:hAnsi="Times New Roman" w:eastAsia="MS Mincho"/>
          <w:b w:val="0"/>
          <w:i w:val="0"/>
          <w:sz w:val="20"/>
        </w:rPr>
        <w:t xml:space="preserve"> is forced to zero, any intangible component not already recorded inflates TFP.</w:t>
      </w:r>
    </w:p>
    <w:p>
      <w:pPr>
        <w:spacing w:after="120" w:line="360" w:lineRule="auto"/>
        <w:ind w:firstLine="480"/>
      </w:pPr>
      <w:r>
        <w:rPr>
          <w:rFonts w:ascii="Times New Roman" w:hAnsi="Times New Roman" w:eastAsia="MS Mincho"/>
          <w:b w:val="0"/>
          <w:i w:val="0"/>
          <w:sz w:val="20"/>
        </w:rPr>
        <w:t xml:space="preserve">The identification strategy exploits a structural analogy with population statistics. Bongaarts and Feeney (1998) showed that a drifting mean age at childbearing depresses measured period fertility even when completed fertility is constant; Goldstein et al. (2003) showed that their adjustment was an upper bound unless a parity-specific "forgotten" variance </w:t>
      </w:r>
      <m:oMath xmlns:mml="http://www.w3.org/1998/Math/MathML">
        <m:box>
          <m:e>
            <m:r>
              <m:rPr>
                <m:sty m:val="i"/>
              </m:rPr>
              <m:t>σ</m:t>
            </m:r>
          </m:e>
        </m:box>
      </m:oMath>
      <w:r>
        <w:rPr>
          <w:rFonts w:ascii="Times New Roman" w:hAnsi="Times New Roman" w:eastAsia="MS Mincho"/>
          <w:b w:val="0"/>
          <w:i w:val="0"/>
          <w:sz w:val="20"/>
        </w:rPr>
        <w:t xml:space="preserve"> was re-introduced. Under a precise change of variables, the same mathematics applies to capital accounting (Supplementary Table 1): investment plays the role of births, the PIM capital stock plays the role of the population stock,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is the analogue of the mean age at childbearing, and </w:t>
      </w:r>
      <m:oMath xmlns:mml="http://www.w3.org/1998/Math/MathML">
        <m:box>
          <m:e>
            <m:r>
              <m:rPr>
                <m:sty m:val="i"/>
              </m:rPr>
              <m:t>β</m:t>
            </m:r>
          </m:e>
        </m:box>
      </m:oMath>
      <w:r>
        <w:rPr>
          <w:rFonts w:ascii="Times New Roman" w:hAnsi="Times New Roman" w:eastAsia="MS Mincho"/>
          <w:b w:val="0"/>
          <w:i w:val="0"/>
          <w:sz w:val="20"/>
        </w:rPr>
        <w:t xml:space="preserve"> is the analogue of the forgotten variance. The same timing correction, applied for the first time to capital accounting, should carry at least as much empirical content.</w:t>
      </w:r>
    </w:p>
    <w:p>
      <w:pPr>
        <w:spacing w:after="120" w:line="360" w:lineRule="auto"/>
        <w:ind w:firstLine="480"/>
      </w:pPr>
      <w:r>
        <w:rPr>
          <w:rFonts w:ascii="Times New Roman" w:hAnsi="Times New Roman" w:eastAsia="MS Mincho"/>
          <w:b w:val="0"/>
          <w:i w:val="0"/>
          <w:sz w:val="20"/>
        </w:rPr>
        <w:t xml:space="preserve">Quantitatively, the corrections are modest but systematic. The observable proxy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 constructed from OECD GFCF asset composition by weighting asset-specific gestation lags by their investment shares — changes measured capital stocks by a median 4.3 % across 35 OECD and middle-income economies (Penn World Table 10.01, World Bank CWON, 1970–2019; CWON available from 1995). This is not a forecasting result: it is a measurement consequence. Because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lowers measured capital relative to the standard PIM, it raises measured log-level TFP by a median 1.7 percentage points and the implied labour share by 1.7 percentage points. The effects are largest in economies whose investment mix has shifted toward long-gestation assets — Ireland (−9.2 %), Republic of Korea (−7.1 %), Israel (−6.4 %) — and smallest where the asset mix has been stable. A Solow-residual decomposition attributes up to 13.8 % of TFP-growth variance to tempo drift alone (M0 → M2) in some countries. On the wealth side, the joint corrections narrow the gap between the PIM and CWON produced-capital trajectories; a strict temporal holdout — parameters fitted on 1995–2014 and evaluated against 2015–2019 CWON observations — shows a lower median residual under the joint model than under the production-only alternative.</w:t>
      </w:r>
    </w:p>
    <w:p>
      <w:pPr>
        <w:spacing w:after="120" w:line="360" w:lineRule="auto"/>
        <w:ind w:firstLine="480"/>
      </w:pPr>
      <w:r>
        <w:rPr>
          <w:rFonts w:ascii="Times New Roman" w:hAnsi="Times New Roman" w:eastAsia="MS Mincho"/>
          <w:b w:val="0"/>
          <w:i w:val="0"/>
          <w:sz w:val="20"/>
        </w:rPr>
        <w:t xml:space="preserve">Three implications for economic measurement follow. First, potential-output estimates computed from production functions that impose </w:t>
      </w:r>
      <m:oMath xmlns:mml="http://www.w3.org/1998/Math/MathML">
        <m:box>
          <m:e>
            <m:r>
              <m:rPr>
                <m:sty m:val="i"/>
              </m:rPr>
              <m:t>μ</m:t>
            </m:r>
            <m:r>
              <m:rPr>
                <m:sty m:val="p"/>
              </m:rPr>
              <m:t>=</m:t>
            </m:r>
            <m:r>
              <m:rPr>
                <m:sty m:val="p"/>
              </m:rPr>
              <m:t>0</m:t>
            </m:r>
          </m:e>
        </m:box>
      </m:oMath>
      <w:r>
        <w:rPr>
          <w:rFonts w:ascii="Times New Roman" w:hAnsi="Times New Roman" w:eastAsia="MS Mincho"/>
          <w:b w:val="0"/>
          <w:i w:val="0"/>
          <w:sz w:val="20"/>
        </w:rPr>
        <w:t xml:space="preserve"> inherit the tempo bias, so measured output gaps inherit it too. Second, cross-country heterogeneity in (</w:t>
      </w:r>
      <m:oMath xmlns:mml="http://www.w3.org/1998/Math/MathML">
        <m:box>
          <m:e>
            <m:acc>
              <m:accPr>
                <m:chr m:val="^"/>
              </m:accPr>
              <m:e>
                <m:r>
                  <m:rPr>
                    <m:sty m:val="i"/>
                  </m:rPr>
                  <m:t>μ</m:t>
                </m:r>
              </m:e>
            </m:acc>
          </m:e>
        </m:box>
      </m:oMath>
      <w:r>
        <w:rPr>
          <w:rFonts w:ascii="Times New Roman" w:hAnsi="Times New Roman" w:eastAsia="MS Mincho"/>
          <w:b w:val="0"/>
          <w:i w:val="0"/>
          <w:sz w:val="20"/>
        </w:rPr>
        <w:t xml:space="preserve">, </w:t>
      </w:r>
      <m:oMath xmlns:mml="http://www.w3.org/1998/Math/MathML">
        <m:box>
          <m:e>
            <m:acc>
              <m:accPr>
                <m:chr m:val="^"/>
              </m:accPr>
              <m:e>
                <m:r>
                  <m:rPr>
                    <m:sty m:val="i"/>
                  </m:rPr>
                  <m:t>β</m:t>
                </m:r>
              </m:e>
            </m:acc>
          </m:e>
        </m:box>
      </m:oMath>
      <w:r>
        <w:rPr>
          <w:rFonts w:ascii="Times New Roman" w:hAnsi="Times New Roman" w:eastAsia="MS Mincho"/>
          <w:b w:val="0"/>
          <w:i w:val="0"/>
          <w:sz w:val="20"/>
        </w:rPr>
        <w:t>) maps onto differences in investment composition, so one-size-fits-all depreciation schedules and a zero-lag convention are a source of international GDP and capital comparability problems. Third, the disagreement between flow-side and stock-side capital aggregates — a standing puzzle in wealth accounting — narrows materially once both sides are audited on the same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terms.</w:t>
      </w:r>
    </w:p>
    <w:p>
      <w:pPr>
        <w:spacing w:after="120" w:line="360" w:lineRule="auto"/>
        <w:ind w:firstLine="480"/>
      </w:pPr>
      <w:r>
        <w:rPr>
          <w:rFonts w:ascii="Times New Roman" w:hAnsi="Times New Roman" w:eastAsia="MS Mincho"/>
          <w:b w:val="0"/>
          <w:i w:val="0"/>
          <w:sz w:val="20"/>
        </w:rPr>
        <w:t>The remainder of the paper proceeds as follows. Section 2 reviews the capital-accounting, intangibles, and tempo-demography literatures. Section 3 develops the theory. Section 4 describes the data and methods and defines five models M0–M4. Section 5 reports the core empirical results. Section 6 discusses implications for measurement practice. Section 7 concludes. The Supporting Information reports robustness checks, historical-episode decompositions, counterfactual wealth calculations, and forward-looking scenarios.</w:t>
      </w:r>
    </w:p>
    <w:p>
      <w:pPr>
        <w:spacing w:before="360" w:after="120" w:line="360" w:lineRule="auto"/>
        <w:ind w:firstLine="0"/>
        <w:jc w:val="left"/>
      </w:pPr>
      <w:r>
        <w:rPr>
          <w:rFonts w:ascii="Times New Roman" w:hAnsi="Times New Roman" w:eastAsia="MS Mincho"/>
          <w:b/>
          <w:i w:val="0"/>
          <w:sz w:val="24"/>
        </w:rPr>
        <w:t>2 Related literature</w:t>
      </w:r>
    </w:p>
    <w:p>
      <w:pPr>
        <w:spacing w:after="120" w:line="360" w:lineRule="auto"/>
        <w:ind w:firstLine="480"/>
      </w:pPr>
      <w:r>
        <w:rPr>
          <w:rFonts w:ascii="Times New Roman" w:hAnsi="Times New Roman" w:eastAsia="MS Mincho"/>
          <w:b/>
          <w:i w:val="0"/>
          <w:sz w:val="20"/>
        </w:rPr>
        <w:t>Capital accounting and time-to-build.</w:t>
      </w:r>
      <w:r>
        <w:rPr>
          <w:rFonts w:ascii="Times New Roman" w:hAnsi="Times New Roman" w:eastAsia="MS Mincho"/>
          <w:b w:val="0"/>
          <w:i w:val="0"/>
          <w:sz w:val="20"/>
        </w:rPr>
        <w:t xml:space="preserve"> Since Kydland and Prescott (1982) it has been standard practice to insert a multi-period investment lag into business-cycle models. Empirical estimates are overwhelmingly based on fixed lag structures: a single </w:t>
      </w:r>
      <m:oMath xmlns:mml="http://www.w3.org/1998/Math/MathML">
        <m:box>
          <m:e>
            <m:r>
              <m:rPr>
                <m:sty m:val="i"/>
              </m:rPr>
              <m:t>μ</m:t>
            </m:r>
          </m:e>
        </m:box>
      </m:oMath>
      <w:r>
        <w:rPr>
          <w:rFonts w:ascii="Times New Roman" w:hAnsi="Times New Roman" w:eastAsia="MS Mincho"/>
          <w:b w:val="0"/>
          <w:i w:val="0"/>
          <w:sz w:val="20"/>
        </w:rPr>
        <w:t xml:space="preserve"> is estimated once for an entire sample, or a small number of regime-dependent </w:t>
      </w:r>
      <m:oMath xmlns:mml="http://www.w3.org/1998/Math/MathML">
        <m:box>
          <m:e>
            <m:r>
              <m:rPr>
                <m:sty m:val="i"/>
              </m:rPr>
              <m:t>μ</m:t>
            </m:r>
          </m:e>
        </m:box>
      </m:oMath>
      <w:r>
        <w:rPr>
          <w:rFonts w:ascii="Times New Roman" w:hAnsi="Times New Roman" w:eastAsia="MS Mincho"/>
          <w:b w:val="0"/>
          <w:i w:val="0"/>
          <w:sz w:val="20"/>
        </w:rPr>
        <w:t xml:space="preserve">s are estimated for recession and expansion states (Mayer, 1960; Koeva, 2000). Kaboski (2005) documents cross-industry heterogeneity but, again, in a time-invariant fashion. More recent work (Altug, 1989; Christiano and Todd, 1996; Edge, 2007) has explored stochastic extensions in which the lag distribution is allowed to depend on sectoral composition, but still does not allow </w:t>
      </w:r>
      <m:oMath xmlns:mml="http://www.w3.org/1998/Math/MathML">
        <m:box>
          <m:e>
            <m:r>
              <m:rPr>
                <m:sty m:val="i"/>
              </m:rPr>
              <m:t>μ</m:t>
            </m:r>
          </m:e>
        </m:box>
      </m:oMath>
      <w:r>
        <w:rPr>
          <w:rFonts w:ascii="Times New Roman" w:hAnsi="Times New Roman" w:eastAsia="MS Mincho"/>
          <w:b w:val="0"/>
          <w:i w:val="0"/>
          <w:sz w:val="20"/>
        </w:rPr>
        <w:t xml:space="preserve"> to drift systematically over decades. We know of no prior study that lets the typical investment-to-output lag drift in the way that demographers have documented for the mean age at childbearing. This omission matters because post-1990 investment has shifted substantially toward long-lead assets — custom industrial software, cloud infrastructure, pharmaceutical R&amp;D, complex engineering systems — whose gestation periods differ by nearly an order of magnitude from the plant and equipment of the 1960s on which the foundational lag literature was calibrated (OECD, 2013; Corrado et al., 2020).</w:t>
      </w:r>
    </w:p>
    <w:p>
      <w:pPr>
        <w:spacing w:after="120" w:line="360" w:lineRule="auto"/>
        <w:ind w:firstLine="480"/>
      </w:pPr>
      <w:r>
        <w:rPr>
          <w:rFonts w:ascii="Times New Roman" w:hAnsi="Times New Roman" w:eastAsia="MS Mincho"/>
          <w:b/>
          <w:i w:val="0"/>
          <w:sz w:val="20"/>
        </w:rPr>
        <w:t>Intangible capital.</w:t>
      </w:r>
      <w:r>
        <w:rPr>
          <w:rFonts w:ascii="Times New Roman" w:hAnsi="Times New Roman" w:eastAsia="MS Mincho"/>
          <w:b w:val="0"/>
          <w:i w:val="0"/>
          <w:sz w:val="20"/>
        </w:rPr>
        <w:t xml:space="preserve"> The programme begun by Corrado et al. (2005, 2009) has by now produced robust international evidence that software, R&amp;D, design, brand, organisational capital, and training account for 30–60 % of productivity growth in advanced economies (INTAN-Invest: Corrado et al., 2016; Roth, 2022). At the industry level, treating intangibles as investment has been shown to lower measured TFP growth materially — by roughly a quarter for the United Kingdom in the 2000s (dal Borgo et al., 2013) — and the output elasticity of intangible capital varies with ICT intensity across European economies (Corrado et al., 2017). The 2008 SNA (United Nations et al., 2009) formally incorporated R&amp;D into produced capital, but broader intangibles — organisational capital, brand, training, purchased design services, some categories of financial innovation — remain excluded from most official balance sheets, including the World Bank CWON (Lange et al., 2021, Chap. 3). McGrattan and Prescott (2010) and Haskel and Westlake (2017, 2022) emphasise that this omission biases not only the level of measured capital but also the implied productivity growth rate whenever the intangible share is expanding — exactly the setting of our 1995–2019 sample. In practice, the intangible share </w:t>
      </w:r>
      <m:oMath xmlns:mml="http://www.w3.org/1998/Math/MathML">
        <m:box>
          <m:e>
            <m:r>
              <m:rPr>
                <m:sty m:val="i"/>
              </m:rPr>
              <m:t>β</m:t>
            </m:r>
          </m:e>
        </m:box>
      </m:oMath>
      <w:r>
        <w:rPr>
          <w:rFonts w:ascii="Times New Roman" w:hAnsi="Times New Roman" w:eastAsia="MS Mincho"/>
          <w:b w:val="0"/>
          <w:i w:val="0"/>
          <w:sz w:val="20"/>
        </w:rPr>
        <w:t xml:space="preserve"> is not a global constant: Japan, Germany, and some East-Asian economies retain a smaller intangible share than the United States even under harmonised measurement (Corrado et al., 2020), so </w:t>
      </w:r>
      <m:oMath xmlns:mml="http://www.w3.org/1998/Math/MathML">
        <m:box>
          <m:e>
            <m:r>
              <m:rPr>
                <m:sty m:val="i"/>
              </m:rPr>
              <m:t>β</m:t>
            </m:r>
          </m:e>
        </m:box>
      </m:oMath>
      <w:r>
        <w:rPr>
          <w:rFonts w:ascii="Times New Roman" w:hAnsi="Times New Roman" w:eastAsia="MS Mincho"/>
          <w:b w:val="0"/>
          <w:i w:val="0"/>
          <w:sz w:val="20"/>
        </w:rPr>
        <w:t xml:space="preserve"> ought to be a country-specific parameter, which is how we treat it in Sect. 4.</w:t>
      </w:r>
    </w:p>
    <w:p>
      <w:pPr>
        <w:spacing w:after="120" w:line="360" w:lineRule="auto"/>
        <w:ind w:firstLine="480"/>
      </w:pPr>
      <w:r>
        <w:rPr>
          <w:rFonts w:ascii="Times New Roman" w:hAnsi="Times New Roman" w:eastAsia="MS Mincho"/>
          <w:b/>
          <w:i w:val="0"/>
          <w:sz w:val="20"/>
        </w:rPr>
        <w:t>Wealth accounting.</w:t>
      </w:r>
      <w:r>
        <w:rPr>
          <w:rFonts w:ascii="Times New Roman" w:hAnsi="Times New Roman" w:eastAsia="MS Mincho"/>
          <w:b w:val="0"/>
          <w:i w:val="0"/>
          <w:sz w:val="20"/>
        </w:rPr>
        <w:t xml:space="preserve"> The Beyond-GDP movement, from Stiglitz et al. (2009) through Jorgenson (2018) and Managi and Kumar (2018), proposes to replace or augment GDP with wealth-style aggregates. Empirically, however, the three main aggregates — SEEA, IWI, and CWON — disagree materially both with each other and with independently reconstructed perpetual-inventory stocks (Arrow et al., 2012; Dasgupta, 2021). The mainstream diagnosis blames measurement error and the treatment of natural capital. We show that a more mundane culprit — a mis-specified time-to-build and an omitted intangible share — accounts for a sizeable fraction of the discrepancy.</w:t>
      </w:r>
    </w:p>
    <w:p>
      <w:pPr>
        <w:spacing w:after="120" w:line="360" w:lineRule="auto"/>
        <w:ind w:firstLine="480"/>
      </w:pPr>
      <w:r>
        <w:rPr>
          <w:rFonts w:ascii="Times New Roman" w:hAnsi="Times New Roman" w:eastAsia="MS Mincho"/>
          <w:b/>
          <w:i w:val="0"/>
          <w:sz w:val="20"/>
        </w:rPr>
        <w:t>Tempo and forgotten parameters in demography.</w:t>
      </w:r>
      <w:r>
        <w:rPr>
          <w:rFonts w:ascii="Times New Roman" w:hAnsi="Times New Roman" w:eastAsia="MS Mincho"/>
          <w:b w:val="0"/>
          <w:i w:val="0"/>
          <w:sz w:val="20"/>
        </w:rPr>
        <w:t xml:space="preserve"> Bongaarts and Feeney (1998) introduced the adjustment </w:t>
      </w:r>
      <m:oMath xmlns:mml="http://www.w3.org/1998/Math/MathML">
        <m:box>
          <m:e>
            <m:sSup>
              <m:e>
                <m:r>
                  <m:rPr>
                    <m:nor/>
                  </m:rPr>
                  <m:t>TFR</m:t>
                </m:r>
              </m:e>
              <m:sup>
                <m:box>
                  <m:e>
                    <m:r>
                      <m:rPr>
                        <m:sty m:val="p"/>
                      </m:rPr>
                      <m:t>*</m:t>
                    </m:r>
                  </m:e>
                </m:box>
              </m:sup>
            </m:sSup>
            <m:r>
              <m:rPr>
                <m:sty m:val="p"/>
              </m:rPr>
              <m:t>=</m:t>
            </m:r>
            <m:r>
              <m:rPr>
                <m:nor/>
              </m:rPr>
              <m:t>TFR</m:t>
            </m:r>
            <m:r>
              <m:rPr>
                <m:sty m:val="p"/>
              </m:rPr>
              <m:t>/</m:t>
            </m:r>
            <m:r>
              <m:rPr>
                <m:sty m:val="p"/>
              </m:rPr>
              <m:t>(</m:t>
            </m:r>
            <m:r>
              <m:rPr>
                <m:sty m:val="p"/>
              </m:rPr>
              <m:t>1</m:t>
            </m:r>
            <m:r>
              <m:rPr>
                <m:sty m:val="p"/>
              </m:rPr>
              <m:t>−</m:t>
            </m:r>
            <m:r>
              <m:rPr>
                <m:sty m:val="i"/>
              </m:rPr>
              <m:t>r</m:t>
            </m:r>
            <m:r>
              <m:rPr>
                <m:sty m:val="p"/>
              </m:rPr>
              <m:t>(</m:t>
            </m:r>
            <m:r>
              <m:rPr>
                <m:sty m:val="i"/>
              </m:rPr>
              <m:t>t</m:t>
            </m:r>
            <m:r>
              <m:rPr>
                <m:sty m:val="p"/>
              </m:rPr>
              <m:t>)</m:t>
            </m:r>
            <m:r>
              <m:rPr>
                <m:sty m:val="p"/>
              </m:rPr>
              <m:t>)</m:t>
            </m:r>
          </m:e>
        </m:box>
      </m:oMath>
      <w:r>
        <w:rPr>
          <w:rFonts w:ascii="Times New Roman" w:hAnsi="Times New Roman" w:eastAsia="MS Mincho"/>
          <w:b w:val="0"/>
          <w:i w:val="0"/>
          <w:sz w:val="20"/>
        </w:rPr>
        <w:t xml:space="preserve"> where </w:t>
      </w:r>
      <m:oMath xmlns:mml="http://www.w3.org/1998/Math/MathML">
        <m:box>
          <m:e>
            <m:r>
              <m:rPr>
                <m:sty m:val="i"/>
              </m:rPr>
              <m:t>r</m:t>
            </m:r>
            <m:r>
              <m:rPr>
                <m:sty m:val="p"/>
              </m:rPr>
              <m:t>(</m:t>
            </m:r>
            <m:r>
              <m:rPr>
                <m:sty m:val="i"/>
              </m:rPr>
              <m:t>t</m:t>
            </m:r>
            <m:r>
              <m:rPr>
                <m:sty m:val="p"/>
              </m:rPr>
              <m:t>)</m:t>
            </m:r>
          </m:e>
        </m:box>
      </m:oMath>
      <w:r>
        <w:rPr>
          <w:rFonts w:ascii="Times New Roman" w:hAnsi="Times New Roman" w:eastAsia="MS Mincho"/>
          <w:b w:val="0"/>
          <w:i w:val="0"/>
          <w:sz w:val="20"/>
        </w:rPr>
        <w:t xml:space="preserve"> is the annual change in the mean age at childbearing. Goldstein et al. (2003) showed that the Bongaarts and Feeney (1998) adjustment was an upper bound unless a parity-specific "forgotten" variance </w:t>
      </w:r>
      <m:oMath xmlns:mml="http://www.w3.org/1998/Math/MathML">
        <m:box>
          <m:e>
            <m:r>
              <m:rPr>
                <m:sty m:val="i"/>
              </m:rPr>
              <m:t>σ</m:t>
            </m:r>
          </m:e>
        </m:box>
      </m:oMath>
      <w:r>
        <w:rPr>
          <w:rFonts w:ascii="Times New Roman" w:hAnsi="Times New Roman" w:eastAsia="MS Mincho"/>
          <w:b w:val="0"/>
          <w:i w:val="0"/>
          <w:sz w:val="20"/>
        </w:rPr>
        <w:t xml:space="preserve"> was re-introduced. Kohler et al. (2002) and Bongaarts and Sobotka (2012) confirmed both findings across Europe. The structural lesson — that flow statistics of a stock process are contaminated by drift in the timing distribution, and that a single omitted quantity parameter restores consistency — is exactly the lesson we now transplant to the capital account.</w:t>
      </w:r>
    </w:p>
    <w:p>
      <w:pPr>
        <w:spacing w:after="120" w:line="360" w:lineRule="auto"/>
        <w:ind w:firstLine="480"/>
      </w:pPr>
      <w:r>
        <w:rPr>
          <w:rFonts w:ascii="Times New Roman" w:hAnsi="Times New Roman" w:eastAsia="MS Mincho"/>
          <w:b/>
          <w:i w:val="0"/>
          <w:sz w:val="20"/>
        </w:rPr>
        <w:t>The gap this paper fills.</w:t>
      </w:r>
      <w:r>
        <w:rPr>
          <w:rFonts w:ascii="Times New Roman" w:hAnsi="Times New Roman" w:eastAsia="MS Mincho"/>
          <w:b w:val="0"/>
          <w:i w:val="0"/>
          <w:sz w:val="20"/>
        </w:rPr>
        <w:t xml:space="preserve"> The papers above individually treat (i) capital time-to-build, (ii) intangibles, (iii) wealth aggregates, and (iv) demographic tempo. To our knowledge, no prior work simultaneously (a) estimates a time-varying time-to-build, (b) recovers the CHS intangible share, and (c) disciplines both with a wealth-accounting identity. This paper combines all three. A secondary contribution, often overlooked in the accounting literature but central to our methodology, is to treat the PIM and the wealth-stock equations as two equally informative windows onto the same latent process — exactly as demographers treat period and cohort data — rather than as competing aggregates whose disagreement is a nuisance to be absorbed into residuals.</w:t>
      </w:r>
    </w:p>
    <w:p>
      <w:pPr>
        <w:spacing w:before="360" w:after="120" w:line="360" w:lineRule="auto"/>
        <w:ind w:firstLine="0"/>
        <w:jc w:val="left"/>
      </w:pPr>
      <w:r>
        <w:rPr>
          <w:rFonts w:ascii="Times New Roman" w:hAnsi="Times New Roman" w:eastAsia="MS Mincho"/>
          <w:b/>
          <w:i w:val="0"/>
          <w:sz w:val="24"/>
        </w:rPr>
        <w:t>3 Theory</w:t>
      </w:r>
    </w:p>
    <w:p>
      <w:pPr>
        <w:spacing w:before="360" w:after="120" w:line="360" w:lineRule="auto"/>
        <w:ind w:firstLine="0"/>
        <w:jc w:val="left"/>
      </w:pPr>
      <w:r>
        <w:rPr>
          <w:rFonts w:ascii="Times New Roman" w:hAnsi="Times New Roman" w:eastAsia="MS Mincho"/>
          <w:b/>
          <w:i w:val="0"/>
          <w:sz w:val="24"/>
        </w:rPr>
        <w:t>3.1 Flow-side production function with tempo</w:t>
      </w:r>
    </w:p>
    <w:p>
      <w:pPr>
        <w:spacing w:after="120" w:line="360" w:lineRule="auto"/>
        <w:ind w:firstLine="480"/>
      </w:pPr>
      <w:r>
        <w:rPr>
          <w:rFonts w:ascii="Times New Roman" w:hAnsi="Times New Roman" w:eastAsia="MS Mincho"/>
          <w:b w:val="0"/>
          <w:i w:val="0"/>
          <w:sz w:val="20"/>
        </w:rPr>
        <w:t>The textbook production function treats investment as if it matures instantly:</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sSub>
                    <m:e>
                      <m:r>
                        <m:rPr>
                          <m:sty m:val="i"/>
                        </m:rPr>
                        <m:t>K</m:t>
                      </m:r>
                    </m:e>
                    <m:sub>
                      <m:box>
                        <m:e>
                          <m:r>
                            <m:rPr>
                              <m:sty m:val="i"/>
                            </m:rPr>
                            <m:t>i</m:t>
                          </m:r>
                          <m:r>
                            <m:rPr>
                              <m:sty m:val="i"/>
                            </m:rPr>
                            <m:t>n</m:t>
                          </m:r>
                          <m:r>
                            <m:rPr>
                              <m:sty m:val="i"/>
                            </m:rPr>
                            <m:t>s</m:t>
                          </m:r>
                          <m:r>
                            <m:rPr>
                              <m:sty m:val="i"/>
                            </m:rPr>
                            <m:t>t</m:t>
                          </m:r>
                          <m:r>
                            <m:rPr>
                              <m:sty m:val="i"/>
                            </m:rPr>
                            <m:t>a</m:t>
                          </m:r>
                          <m:r>
                            <m:rPr>
                              <m:sty m:val="i"/>
                            </m:rPr>
                            <m:t>n</m:t>
                          </m:r>
                          <m:r>
                            <m:rPr>
                              <m:sty m:val="i"/>
                            </m:rPr>
                            <m:t>t</m:t>
                          </m:r>
                        </m:e>
                      </m:box>
                    </m:sub>
                  </m:sSub>
                  <m:r>
                    <m:rPr>
                      <m:sty m:val="p"/>
                    </m:rPr>
                    <m:t>(</m:t>
                  </m:r>
                  <m:r>
                    <m:rPr>
                      <m:sty m:val="i"/>
                    </m:rPr>
                    <m:t>t</m:t>
                  </m:r>
                  <m:r>
                    <m:rPr>
                      <m:sty m:val="p"/>
                    </m:rPr>
                    <m:t>)</m:t>
                  </m:r>
                  <m:r>
                    <m:rPr>
                      <m:sty m:val="p"/>
                    </m:rPr>
                    <m:t>=</m:t>
                  </m:r>
                  <m:r>
                    <m:rPr>
                      <m:sty m:val="p"/>
                    </m:rPr>
                    <m:t>(</m:t>
                  </m:r>
                  <m:r>
                    <m:rPr>
                      <m:sty m:val="p"/>
                    </m:rPr>
                    <m:t>1</m:t>
                  </m:r>
                  <m:r>
                    <m:rPr>
                      <m:sty m:val="p"/>
                    </m:rPr>
                    <m:t>−</m:t>
                  </m:r>
                  <m:sSub>
                    <m:e>
                      <m:r>
                        <m:rPr>
                          <m:sty m:val="i"/>
                        </m:rPr>
                        <m:t>δ</m:t>
                      </m:r>
                    </m:e>
                    <m:sub>
                      <m:box>
                        <m:e>
                          <m:r>
                            <m:rPr>
                              <m:sty m:val="i"/>
                            </m:rPr>
                            <m:t>t</m:t>
                          </m:r>
                          <m:r>
                            <m:rPr>
                              <m:sty m:val="p"/>
                            </m:rPr>
                            <m:t>−</m:t>
                          </m:r>
                          <m:r>
                            <m:rPr>
                              <m:sty m:val="p"/>
                            </m:rPr>
                            <m:t>1</m:t>
                          </m:r>
                        </m:e>
                      </m:box>
                    </m:sub>
                  </m:sSub>
                  <m:r>
                    <m:rPr>
                      <m:sty m:val="p"/>
                    </m:rPr>
                    <m:t>)</m:t>
                  </m:r>
                  <m:sSub>
                    <m:e>
                      <m:r>
                        <m:rPr>
                          <m:sty m:val="i"/>
                        </m:rPr>
                        <m:t>K</m:t>
                      </m:r>
                    </m:e>
                    <m:sub>
                      <m:box>
                        <m:e>
                          <m:r>
                            <m:rPr>
                              <m:sty m:val="i"/>
                            </m:rPr>
                            <m:t>i</m:t>
                          </m:r>
                          <m:r>
                            <m:rPr>
                              <m:sty m:val="i"/>
                            </m:rPr>
                            <m:t>n</m:t>
                          </m:r>
                          <m:r>
                            <m:rPr>
                              <m:sty m:val="i"/>
                            </m:rPr>
                            <m:t>s</m:t>
                          </m:r>
                          <m:r>
                            <m:rPr>
                              <m:sty m:val="i"/>
                            </m:rPr>
                            <m:t>t</m:t>
                          </m:r>
                          <m:r>
                            <m:rPr>
                              <m:sty m:val="i"/>
                            </m:rPr>
                            <m:t>a</m:t>
                          </m:r>
                          <m:r>
                            <m:rPr>
                              <m:sty m:val="i"/>
                            </m:rPr>
                            <m:t>n</m:t>
                          </m:r>
                          <m:r>
                            <m:rPr>
                              <m:sty m:val="i"/>
                            </m:rPr>
                            <m:t>t</m:t>
                          </m:r>
                        </m:e>
                      </m:box>
                    </m:sub>
                  </m:sSub>
                  <m:r>
                    <m:rPr>
                      <m:sty m:val="p"/>
                    </m:rPr>
                    <m:t>(</m:t>
                  </m:r>
                  <m:r>
                    <m:rPr>
                      <m:sty m:val="i"/>
                    </m:rPr>
                    <m:t>t</m:t>
                  </m:r>
                  <m:r>
                    <m:rPr>
                      <m:sty m:val="p"/>
                    </m:rPr>
                    <m:t>−</m:t>
                  </m:r>
                  <m:r>
                    <m:rPr>
                      <m:sty m:val="p"/>
                    </m:rPr>
                    <m:t>1</m:t>
                  </m:r>
                  <m:r>
                    <m:rPr>
                      <m:sty m:val="p"/>
                    </m:rPr>
                    <m:t>)</m:t>
                  </m:r>
                  <m:r>
                    <m:rPr>
                      <m:sty m:val="p"/>
                    </m:rPr>
                    <m:t>+</m:t>
                  </m:r>
                  <m:sSub>
                    <m:e>
                      <m:r>
                        <m:rPr>
                          <m:sty m:val="i"/>
                        </m:rPr>
                        <m:t>I</m:t>
                      </m:r>
                    </m:e>
                    <m:sub>
                      <m:box>
                        <m:e>
                          <m:r>
                            <m:rPr>
                              <m:sty m:val="i"/>
                            </m:rPr>
                            <m:t>t</m:t>
                          </m:r>
                          <m:r>
                            <m:rPr>
                              <m:sty m:val="p"/>
                            </m:rPr>
                            <m:t>−</m:t>
                          </m:r>
                          <m:r>
                            <m:rPr>
                              <m:sty m:val="p"/>
                            </m:rPr>
                            <m:t>1</m:t>
                          </m:r>
                        </m:e>
                      </m:box>
                    </m:sub>
                  </m:sSub>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(M0)</w:t>
            </w:r>
          </w:p>
        </w:tc>
      </w:tr>
    </w:tbl>
    <w:p>
      <w:pPr>
        <w:spacing w:after="120" w:line="360" w:lineRule="auto"/>
        <w:ind w:firstLine="480"/>
      </w:pPr>
      <w:r>
        <w:rPr>
          <w:rFonts w:ascii="Times New Roman" w:hAnsi="Times New Roman" w:eastAsia="MS Mincho"/>
          <w:b w:val="0"/>
          <w:i w:val="0"/>
          <w:sz w:val="20"/>
        </w:rPr>
        <w:t>so the Solow (1957) residual aggregates all mis-specification into total factor productivity (TFP). Since Mayer (1960) and Kydland and Prescott (1982) it is well known that, in reality, investment accrues to the stock only after a lag. We write this as a distributed-lag perpetual inventory:</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r>
                    <m:rPr>
                      <m:sty m:val="i"/>
                    </m:rPr>
                    <m:t>K</m:t>
                  </m:r>
                  <m:r>
                    <m:rPr>
                      <m:sty m:val="p"/>
                    </m:rPr>
                    <m:t>(</m:t>
                  </m:r>
                  <m:r>
                    <m:rPr>
                      <m:sty m:val="i"/>
                    </m:rPr>
                    <m:t>t</m:t>
                  </m:r>
                  <m:r>
                    <m:rPr>
                      <m:sty m:val="i"/>
                    </m:rPr>
                    <m:t>;</m:t>
                  </m:r>
                  <m:r>
                    <m:rPr>
                      <m:sty m:val="i"/>
                    </m:rPr>
                    <m:t>μ</m:t>
                  </m:r>
                  <m:r>
                    <m:rPr>
                      <m:sty m:val="p"/>
                    </m:rPr>
                    <m:t>)</m:t>
                  </m:r>
                  <m:r>
                    <m:rPr>
                      <m:sty m:val="p"/>
                    </m:rPr>
                    <m:t>=</m:t>
                  </m:r>
                  <m:r>
                    <m:rPr>
                      <m:sty m:val="p"/>
                    </m:rPr>
                    <m:t>(</m:t>
                  </m:r>
                  <m:r>
                    <m:rPr>
                      <m:sty m:val="p"/>
                    </m:rPr>
                    <m:t>1</m:t>
                  </m:r>
                  <m:r>
                    <m:rPr>
                      <m:sty m:val="p"/>
                    </m:rPr>
                    <m:t>−</m:t>
                  </m:r>
                  <m:sSub>
                    <m:e>
                      <m:r>
                        <m:rPr>
                          <m:sty m:val="i"/>
                        </m:rPr>
                        <m:t>δ</m:t>
                      </m:r>
                    </m:e>
                    <m:sub>
                      <m:box>
                        <m:e>
                          <m:r>
                            <m:rPr>
                              <m:sty m:val="i"/>
                            </m:rPr>
                            <m:t>t</m:t>
                          </m:r>
                          <m:r>
                            <m:rPr>
                              <m:sty m:val="p"/>
                            </m:rPr>
                            <m:t>−</m:t>
                          </m:r>
                          <m:r>
                            <m:rPr>
                              <m:sty m:val="p"/>
                            </m:rPr>
                            <m:t>1</m:t>
                          </m:r>
                        </m:e>
                      </m:box>
                    </m:sub>
                  </m:sSub>
                  <m:r>
                    <m:rPr>
                      <m:sty m:val="p"/>
                    </m:rPr>
                    <m:t>)</m:t>
                  </m:r>
                  <m:r>
                    <m:rPr>
                      <m:sty m:val="i"/>
                    </m:rPr>
                    <m:t>K</m:t>
                  </m:r>
                  <m:r>
                    <m:rPr>
                      <m:sty m:val="p"/>
                    </m:rPr>
                    <m:t>(</m:t>
                  </m:r>
                  <m:r>
                    <m:rPr>
                      <m:sty m:val="i"/>
                    </m:rPr>
                    <m:t>t</m:t>
                  </m:r>
                  <m:r>
                    <m:rPr>
                      <m:sty m:val="p"/>
                    </m:rPr>
                    <m:t>−</m:t>
                  </m:r>
                  <m:r>
                    <m:rPr>
                      <m:sty m:val="p"/>
                    </m:rPr>
                    <m:t>1</m:t>
                  </m:r>
                  <m:r>
                    <m:rPr>
                      <m:sty m:val="i"/>
                    </m:rPr>
                    <m:t>;</m:t>
                  </m:r>
                  <m:r>
                    <m:rPr>
                      <m:sty m:val="i"/>
                    </m:rPr>
                    <m:t>μ</m:t>
                  </m:r>
                  <m:r>
                    <m:rPr>
                      <m:sty m:val="p"/>
                    </m:rPr>
                    <m:t>)</m:t>
                  </m:r>
                  <m:r>
                    <m:rPr>
                      <m:sty m:val="p"/>
                    </m:rPr>
                    <m:t>+</m:t>
                  </m:r>
                  <m:nary>
                    <m:naryPr>
                      <m:chr m:val="∑"/>
                      <m:limLoc m:val="undOvr"/>
                    </m:naryPr>
                    <m:sub>
                      <m:box>
                        <m:e>
                          <m:r>
                            <m:rPr>
                              <m:sty m:val="i"/>
                            </m:rPr>
                            <m:t>s</m:t>
                          </m:r>
                        </m:e>
                      </m:box>
                    </m:sub>
                    <m:sup/>
                    <m:e>
                      <m:sSub>
                        <m:e>
                          <m:r>
                            <m:rPr>
                              <m:sty m:val="i"/>
                            </m:rPr>
                            <m:t>w</m:t>
                          </m:r>
                        </m:e>
                        <m:sub>
                          <m:box>
                            <m:e>
                              <m:r>
                                <m:rPr>
                                  <m:sty m:val="i"/>
                                </m:rPr>
                                <m:t>s</m:t>
                              </m:r>
                            </m:e>
                          </m:box>
                        </m:sub>
                      </m:sSub>
                      <m:r>
                        <m:rPr>
                          <m:sty m:val="p"/>
                        </m:rPr>
                        <m:t>(</m:t>
                      </m:r>
                      <m:r>
                        <m:rPr>
                          <m:sty m:val="i"/>
                        </m:rPr>
                        <m:t>μ</m:t>
                      </m:r>
                      <m:r>
                        <m:rPr>
                          <m:sty m:val="p"/>
                        </m:rPr>
                        <m:t>)</m:t>
                      </m:r>
                      <m:sSub>
                        <m:e>
                          <m:r>
                            <m:rPr>
                              <m:sty m:val="i"/>
                            </m:rPr>
                            <m:t>I</m:t>
                          </m:r>
                        </m:e>
                        <m:sub>
                          <m:box>
                            <m:e>
                              <m:r>
                                <m:rPr>
                                  <m:sty m:val="i"/>
                                </m:rPr>
                                <m:t>t</m:t>
                              </m:r>
                              <m:r>
                                <m:rPr>
                                  <m:sty m:val="p"/>
                                </m:rPr>
                                <m:t>−</m:t>
                              </m:r>
                              <m:r>
                                <m:rPr>
                                  <m:sty m:val="p"/>
                                </m:rPr>
                                <m:t>1</m:t>
                              </m:r>
                              <m:r>
                                <m:rPr>
                                  <m:sty m:val="p"/>
                                </m:rPr>
                                <m:t>−</m:t>
                              </m:r>
                              <m:r>
                                <m:rPr>
                                  <m:sty m:val="i"/>
                                </m:rPr>
                                <m:t>s</m:t>
                              </m:r>
                            </m:e>
                          </m:box>
                        </m:sub>
                      </m:sSub>
                      <m:r>
                        <m:rPr>
                          <m:sty m:val="p"/>
                        </m:rPr>
                        <m:t>,</m:t>
                      </m:r>
                    </m:e>
                  </m:nary>
                </m:e>
              </m:box>
            </m:oMath>
          </w:p>
        </w:tc>
        <w:tc>
          <w:tcPr>
            <w:tcW w:type="dxa" w:w="4703"/>
          </w:tcPr>
          <w:p>
            <w:pPr>
              <w:spacing w:before="240" w:after="240" w:line="360" w:lineRule="auto"/>
              <w:ind w:firstLine="0"/>
              <w:jc w:val="right"/>
            </w:pPr>
            <w:r>
              <w:rPr>
                <w:rFonts w:ascii="Times New Roman" w:hAnsi="Times New Roman" w:eastAsia="MS Mincho"/>
                <w:b w:val="0"/>
                <w:i w:val="0"/>
                <w:sz w:val="20"/>
              </w:rPr>
              <w:t>(M1)</w:t>
            </w:r>
          </w:p>
        </w:tc>
      </w:tr>
    </w:tbl>
    <w:p>
      <w:pPr>
        <w:spacing w:after="120" w:line="360" w:lineRule="auto"/>
        <w:ind w:firstLine="480"/>
      </w:pPr>
      <w:r>
        <w:rPr>
          <w:rFonts w:ascii="Times New Roman" w:hAnsi="Times New Roman" w:eastAsia="MS Mincho"/>
          <w:b w:val="0"/>
          <w:i w:val="0"/>
          <w:sz w:val="20"/>
        </w:rPr>
        <w:t xml:space="preserve">with geometric weights </w:t>
      </w:r>
      <m:oMath xmlns:mml="http://www.w3.org/1998/Math/MathML">
        <m:box>
          <m:e>
            <m:sSub>
              <m:e>
                <m:r>
                  <m:rPr>
                    <m:sty m:val="i"/>
                  </m:rPr>
                  <m:t>w</m:t>
                </m:r>
              </m:e>
              <m:sub>
                <m:box>
                  <m:e>
                    <m:r>
                      <m:rPr>
                        <m:sty m:val="i"/>
                      </m:rPr>
                      <m:t>s</m:t>
                    </m:r>
                  </m:e>
                </m:box>
              </m:sub>
            </m:sSub>
            <m:r>
              <m:rPr>
                <m:sty m:val="p"/>
              </m:rPr>
              <m:t>(</m:t>
            </m:r>
            <m:r>
              <m:rPr>
                <m:sty m:val="i"/>
              </m:rPr>
              <m:t>μ</m:t>
            </m:r>
            <m:r>
              <m:rPr>
                <m:sty m:val="p"/>
              </m:rPr>
              <m:t>)</m:t>
            </m:r>
            <m:r>
              <m:rPr>
                <m:sty m:val="p"/>
              </m:rPr>
              <m:t>=</m:t>
            </m:r>
            <m:r>
              <m:rPr>
                <m:sty m:val="p"/>
              </m:rPr>
              <m:t>(</m:t>
            </m:r>
            <m:r>
              <m:rPr>
                <m:sty m:val="p"/>
              </m:rPr>
              <m:t>1</m:t>
            </m:r>
            <m:r>
              <m:rPr>
                <m:sty m:val="p"/>
              </m:rPr>
              <m:t>−</m:t>
            </m:r>
            <m:r>
              <m:rPr>
                <m:sty m:val="i"/>
              </m:rPr>
              <m:t>θ</m:t>
            </m:r>
            <m:r>
              <m:rPr>
                <m:sty m:val="p"/>
              </m:rPr>
              <m:t>)</m:t>
            </m:r>
            <m:r>
              <m:rPr>
                <m:sty m:val="i"/>
              </m:rPr>
              <m:t>·</m:t>
            </m:r>
            <m:sSup>
              <m:e>
                <m:r>
                  <m:rPr>
                    <m:sty m:val="i"/>
                  </m:rPr>
                  <m:t>θ</m:t>
                </m:r>
              </m:e>
              <m:sup>
                <m:r>
                  <m:rPr>
                    <m:sty m:val="i"/>
                  </m:rPr>
                  <m:t>s</m:t>
                </m:r>
              </m:sup>
            </m:sSup>
          </m:e>
        </m:box>
      </m:oMath>
      <w:r>
        <w:rPr>
          <w:rFonts w:ascii="Times New Roman" w:hAnsi="Times New Roman" w:eastAsia="MS Mincho"/>
          <w:b w:val="0"/>
          <w:i w:val="0"/>
          <w:sz w:val="20"/>
        </w:rPr>
        <w:t xml:space="preserve"> and </w:t>
      </w:r>
      <m:oMath xmlns:mml="http://www.w3.org/1998/Math/MathML">
        <m:box>
          <m:e>
            <m:r>
              <m:rPr>
                <m:sty m:val="i"/>
              </m:rPr>
              <m:t>θ</m:t>
            </m:r>
            <m:r>
              <m:rPr>
                <m:sty m:val="p"/>
              </m:rPr>
              <m:t>=</m:t>
            </m:r>
            <m:r>
              <m:rPr>
                <m:sty m:val="i"/>
              </m:rPr>
              <m:t>μ</m:t>
            </m:r>
            <m:r>
              <m:rPr>
                <m:sty m:val="p"/>
              </m:rPr>
              <m:t>/</m:t>
            </m:r>
            <m:r>
              <m:rPr>
                <m:sty m:val="p"/>
              </m:rPr>
              <m:t>(</m:t>
            </m:r>
            <m:r>
              <m:rPr>
                <m:sty m:val="p"/>
              </m:rPr>
              <m:t>1</m:t>
            </m:r>
            <m:r>
              <m:rPr>
                <m:sty m:val="p"/>
              </m:rPr>
              <m:t>+</m:t>
            </m:r>
            <m:r>
              <m:rPr>
                <m:sty m:val="i"/>
              </m:rPr>
              <m:t>μ</m:t>
            </m:r>
            <m:r>
              <m:rPr>
                <m:sty m:val="p"/>
              </m:rPr>
              <m:t>)</m:t>
            </m:r>
          </m:e>
        </m:box>
      </m:oMath>
      <w:r>
        <w:rPr>
          <w:rFonts w:ascii="Times New Roman" w:hAnsi="Times New Roman" w:eastAsia="MS Mincho"/>
          <w:b w:val="0"/>
          <w:i w:val="0"/>
          <w:sz w:val="20"/>
        </w:rPr>
        <w:t xml:space="preserve">, so the mean lag is exactly </w:t>
      </w:r>
      <m:oMath xmlns:mml="http://www.w3.org/1998/Math/MathML">
        <m:box>
          <m:e>
            <m:r>
              <m:rPr>
                <m:sty m:val="i"/>
              </m:rPr>
              <m:t>μ</m:t>
            </m:r>
          </m:e>
        </m:box>
      </m:oMath>
      <w:r>
        <w:rPr>
          <w:rFonts w:ascii="Times New Roman" w:hAnsi="Times New Roman" w:eastAsia="MS Mincho"/>
          <w:b w:val="0"/>
          <w:i w:val="0"/>
          <w:sz w:val="20"/>
        </w:rPr>
        <w:t xml:space="preserve"> years. The key novelty relative to the existing lag literature is to allow </w:t>
      </w:r>
      <m:oMath xmlns:mml="http://www.w3.org/1998/Math/MathML">
        <m:box>
          <m:e>
            <m:r>
              <m:rPr>
                <m:sty m:val="i"/>
              </m:rPr>
              <m:t>μ</m:t>
            </m:r>
          </m:e>
        </m:box>
      </m:oMath>
      <w:r>
        <w:rPr>
          <w:rFonts w:ascii="Times New Roman" w:hAnsi="Times New Roman" w:eastAsia="MS Mincho"/>
          <w:b w:val="0"/>
          <w:i w:val="0"/>
          <w:sz w:val="20"/>
        </w:rPr>
        <w:t xml:space="preserve"> to drift linearly over time:</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r>
                    <m:rPr>
                      <m:sty m:val="i"/>
                    </m:rPr>
                    <m:t>μ</m:t>
                  </m:r>
                  <m:r>
                    <m:rPr>
                      <m:sty m:val="p"/>
                    </m:rPr>
                    <m:t>(</m:t>
                  </m:r>
                  <m:r>
                    <m:rPr>
                      <m:sty m:val="i"/>
                    </m:rPr>
                    <m:t>t</m:t>
                  </m:r>
                  <m:r>
                    <m:rPr>
                      <m:sty m:val="p"/>
                    </m:rPr>
                    <m:t>)</m:t>
                  </m:r>
                  <m:r>
                    <m:rPr>
                      <m:sty m:val="p"/>
                    </m:rPr>
                    <m:t>=</m:t>
                  </m:r>
                  <m:sSub>
                    <m:e>
                      <m:r>
                        <m:rPr>
                          <m:sty m:val="i"/>
                        </m:rPr>
                        <m:t>μ</m:t>
                      </m:r>
                    </m:e>
                    <m:sub>
                      <m:r>
                        <m:rPr>
                          <m:sty m:val="p"/>
                        </m:rPr>
                        <m:t>0</m:t>
                      </m:r>
                    </m:sub>
                  </m:sSub>
                  <m:r>
                    <m:rPr>
                      <m:sty m:val="p"/>
                    </m:rPr>
                    <m:t>+</m:t>
                  </m:r>
                  <m:sSub>
                    <m:e>
                      <m:r>
                        <m:rPr>
                          <m:sty m:val="i"/>
                        </m:rPr>
                        <m:t>μ</m:t>
                      </m:r>
                    </m:e>
                    <m:sub>
                      <m:r>
                        <m:rPr>
                          <m:sty m:val="p"/>
                        </m:rPr>
                        <m:t>1</m:t>
                      </m:r>
                    </m:sub>
                  </m:sSub>
                  <m:r>
                    <m:rPr>
                      <m:sty m:val="i"/>
                    </m:rPr>
                    <m:t>·</m:t>
                  </m:r>
                  <m:r>
                    <m:rPr>
                      <m:sty m:val="p"/>
                    </m:rPr>
                    <m:t>(</m:t>
                  </m:r>
                  <m:r>
                    <m:rPr>
                      <m:sty m:val="i"/>
                    </m:rPr>
                    <m:t>t</m:t>
                  </m:r>
                  <m:r>
                    <m:rPr>
                      <m:sty m:val="p"/>
                    </m:rPr>
                    <m:t>−</m:t>
                  </m:r>
                  <m:sSub>
                    <m:e>
                      <m:r>
                        <m:rPr>
                          <m:sty m:val="i"/>
                        </m:rPr>
                        <m:t>t</m:t>
                      </m:r>
                    </m:e>
                    <m:sub>
                      <m:r>
                        <m:rPr>
                          <m:sty m:val="p"/>
                        </m:rPr>
                        <m:t>0</m:t>
                      </m:r>
                    </m:sub>
                  </m:sSub>
                  <m:r>
                    <m:rPr>
                      <m:sty m:val="p"/>
                    </m:rPr>
                    <m:t>)</m:t>
                  </m:r>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(M2)</w:t>
            </w:r>
          </w:p>
        </w:tc>
      </w:tr>
    </w:tbl>
    <w:p>
      <w:pPr>
        <w:spacing w:after="120" w:line="360" w:lineRule="auto"/>
        <w:ind w:firstLine="480"/>
      </w:pPr>
      <w:r>
        <w:rPr>
          <w:rFonts w:ascii="Times New Roman" w:hAnsi="Times New Roman" w:eastAsia="MS Mincho"/>
          <w:b w:val="0"/>
          <w:i w:val="0"/>
          <w:sz w:val="20"/>
        </w:rPr>
        <w:t xml:space="preserve">where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captures the "tempo" in the sense of Bongaarts and Feeney (1998). A positive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indicates that typical projects are becoming longer-lived — for example because new investment is increasingly digital infrastructure, R&amp;D platforms, or complex systems that require multi-year assembly — and a negative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would indicate the opposite.</w:t>
      </w:r>
    </w:p>
    <w:p>
      <w:pPr>
        <w:spacing w:before="360" w:after="120" w:line="360" w:lineRule="auto"/>
        <w:ind w:firstLine="0"/>
        <w:jc w:val="left"/>
      </w:pPr>
      <w:r>
        <w:rPr>
          <w:rFonts w:ascii="Times New Roman" w:hAnsi="Times New Roman" w:eastAsia="MS Mincho"/>
          <w:b/>
          <w:i w:val="0"/>
          <w:sz w:val="24"/>
        </w:rPr>
        <w:t>3.2 Unifying identity: the flow-stock joint loss</w:t>
      </w:r>
    </w:p>
    <w:p>
      <w:pPr>
        <w:spacing w:after="120" w:line="360" w:lineRule="auto"/>
        <w:ind w:firstLine="480"/>
      </w:pPr>
      <w:r>
        <w:rPr>
          <w:rFonts w:ascii="Times New Roman" w:hAnsi="Times New Roman" w:eastAsia="MS Mincho"/>
          <w:b w:val="0"/>
          <w:i w:val="0"/>
          <w:sz w:val="20"/>
        </w:rPr>
        <w:t xml:space="preserve">Any consistent national wealth aggregate </w:t>
      </w:r>
      <m:oMath xmlns:mml="http://www.w3.org/1998/Math/MathML">
        <m:box>
          <m:e>
            <m:r>
              <m:rPr>
                <m:sty m:val="i"/>
              </m:rPr>
              <m:t>W</m:t>
            </m:r>
            <m:r>
              <m:rPr>
                <m:sty m:val="p"/>
              </m:rPr>
              <m:t>(</m:t>
            </m:r>
            <m:r>
              <m:rPr>
                <m:sty m:val="i"/>
              </m:rPr>
              <m:t>t</m:t>
            </m:r>
            <m:r>
              <m:rPr>
                <m:sty m:val="p"/>
              </m:rPr>
              <m:t>)</m:t>
            </m:r>
          </m:e>
        </m:box>
      </m:oMath>
      <w:r>
        <w:rPr>
          <w:rFonts w:ascii="Times New Roman" w:hAnsi="Times New Roman" w:eastAsia="MS Mincho"/>
          <w:b w:val="0"/>
          <w:i w:val="0"/>
          <w:sz w:val="20"/>
        </w:rPr>
        <w:t xml:space="preserve"> must satisfy the bookkeeping identity</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f>
                    <m:num>
                      <m:box>
                        <m:e>
                          <m:r>
                            <m:rPr>
                              <m:sty m:val="i"/>
                            </m:rPr>
                            <m:t>d</m:t>
                          </m:r>
                          <m:r>
                            <m:rPr>
                              <m:sty m:val="i"/>
                            </m:rPr>
                            <m:t>W</m:t>
                          </m:r>
                        </m:e>
                      </m:box>
                    </m:num>
                    <m:den>
                      <m:box>
                        <m:e>
                          <m:r>
                            <m:rPr>
                              <m:sty m:val="i"/>
                            </m:rPr>
                            <m:t>d</m:t>
                          </m:r>
                          <m:r>
                            <m:rPr>
                              <m:sty m:val="i"/>
                            </m:rPr>
                            <m:t>t</m:t>
                          </m:r>
                        </m:e>
                      </m:box>
                    </m:den>
                  </m:f>
                  <m:r>
                    <m:rPr>
                      <m:sty m:val="p"/>
                    </m:rPr>
                    <m:t>=</m:t>
                  </m:r>
                  <m:r>
                    <m:rPr>
                      <m:sty m:val="i"/>
                    </m:rPr>
                    <m:t>S</m:t>
                  </m:r>
                  <m:r>
                    <m:rPr>
                      <m:sty m:val="p"/>
                    </m:rPr>
                    <m:t>(</m:t>
                  </m:r>
                  <m:r>
                    <m:rPr>
                      <m:sty m:val="i"/>
                    </m:rPr>
                    <m:t>Y</m:t>
                  </m:r>
                  <m:r>
                    <m:rPr>
                      <m:sty m:val="p"/>
                    </m:rPr>
                    <m:t>)</m:t>
                  </m:r>
                  <m:r>
                    <m:rPr>
                      <m:sty m:val="p"/>
                    </m:rPr>
                    <m:t>−</m:t>
                  </m:r>
                  <m:sSub>
                    <m:e>
                      <m:r>
                        <m:rPr>
                          <m:sty m:val="i"/>
                        </m:rPr>
                        <m:t>δ</m:t>
                      </m:r>
                    </m:e>
                    <m:sub>
                      <m:box>
                        <m:e>
                          <m:r>
                            <m:rPr>
                              <m:sty m:val="i"/>
                            </m:rPr>
                            <m:t>W</m:t>
                          </m:r>
                        </m:e>
                      </m:box>
                    </m:sub>
                  </m:sSub>
                  <m:r>
                    <m:rPr>
                      <m:sty m:val="i"/>
                    </m:rPr>
                    <m:t>·</m:t>
                  </m:r>
                  <m:r>
                    <m:rPr>
                      <m:sty m:val="i"/>
                    </m:rPr>
                    <m:t>W</m:t>
                  </m:r>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(1)</w:t>
            </w:r>
          </w:p>
        </w:tc>
      </w:tr>
    </w:tbl>
    <w:p>
      <w:pPr>
        <w:spacing w:after="120" w:line="360" w:lineRule="auto"/>
        <w:ind w:firstLine="480"/>
      </w:pPr>
      <w:r>
        <w:rPr>
          <w:rFonts w:ascii="Times New Roman" w:hAnsi="Times New Roman" w:eastAsia="MS Mincho"/>
          <w:b w:val="0"/>
          <w:i w:val="0"/>
          <w:sz w:val="20"/>
        </w:rPr>
        <w:t xml:space="preserve">where </w:t>
      </w:r>
      <m:oMath xmlns:mml="http://www.w3.org/1998/Math/MathML">
        <m:box>
          <m:e>
            <m:r>
              <m:rPr>
                <m:sty m:val="i"/>
              </m:rPr>
              <m:t>S</m:t>
            </m:r>
            <m:r>
              <m:rPr>
                <m:sty m:val="p"/>
              </m:rPr>
              <m:t>(</m:t>
            </m:r>
            <m:r>
              <m:rPr>
                <m:sty m:val="i"/>
              </m:rPr>
              <m:t>Y</m:t>
            </m:r>
            <m:r>
              <m:rPr>
                <m:sty m:val="p"/>
              </m:rPr>
              <m:t>)</m:t>
            </m:r>
          </m:e>
        </m:box>
      </m:oMath>
      <w:r>
        <w:rPr>
          <w:rFonts w:ascii="Times New Roman" w:hAnsi="Times New Roman" w:eastAsia="MS Mincho"/>
          <w:b w:val="0"/>
          <w:i w:val="0"/>
          <w:sz w:val="20"/>
        </w:rPr>
        <w:t xml:space="preserve"> is gross saving and </w:t>
      </w:r>
      <m:oMath xmlns:mml="http://www.w3.org/1998/Math/MathML">
        <m:box>
          <m:e>
            <m:sSub>
              <m:e>
                <m:r>
                  <m:rPr>
                    <m:sty m:val="i"/>
                  </m:rPr>
                  <m:t>δ</m:t>
                </m:r>
              </m:e>
              <m:sub>
                <m:box>
                  <m:e>
                    <m:r>
                      <m:rPr>
                        <m:sty m:val="i"/>
                      </m:rPr>
                      <m:t>W</m:t>
                    </m:r>
                  </m:e>
                </m:box>
              </m:sub>
            </m:sSub>
          </m:e>
        </m:box>
      </m:oMath>
      <w:r>
        <w:rPr>
          <w:rFonts w:ascii="Times New Roman" w:hAnsi="Times New Roman" w:eastAsia="MS Mincho"/>
          <w:b w:val="0"/>
          <w:i w:val="0"/>
          <w:sz w:val="20"/>
        </w:rPr>
        <w:t xml:space="preserve"> is the aggregate depreciation rate. Under (1), the same parameters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that govern the production side should also govern the reproducible-capital trajectory implied by the wealth account. We therefore define a single joint loss: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sSub>
                    <m:e>
                      <m:r>
                        <m:rPr>
                          <m:sty m:val="i"/>
                        </m:rPr>
                        <m:t>L</m:t>
                      </m:r>
                    </m:e>
                    <m:sub>
                      <m:box>
                        <m:e>
                          <m:r>
                            <m:rPr>
                              <m:sty m:val="i"/>
                            </m:rPr>
                            <m:t>t</m:t>
                          </m:r>
                          <m:r>
                            <m:rPr>
                              <m:sty m:val="i"/>
                            </m:rPr>
                            <m:t>o</m:t>
                          </m:r>
                          <m:r>
                            <m:rPr>
                              <m:sty m:val="i"/>
                            </m:rPr>
                            <m:t>t</m:t>
                          </m:r>
                          <m:r>
                            <m:rPr>
                              <m:sty m:val="i"/>
                            </m:rPr>
                            <m:t>a</m:t>
                          </m:r>
                          <m:r>
                            <m:rPr>
                              <m:sty m:val="i"/>
                            </m:rPr>
                            <m:t>l</m:t>
                          </m:r>
                        </m:e>
                      </m:box>
                    </m:sub>
                  </m:sSub>
                  <m:r>
                    <m:rPr>
                      <m:sty m:val="p"/>
                    </m:rPr>
                    <m:t>(</m:t>
                  </m:r>
                  <m:r>
                    <m:rPr>
                      <m:sty m:val="i"/>
                    </m:rPr>
                    <m:t>μ</m:t>
                  </m:r>
                  <m:r>
                    <m:rPr>
                      <m:sty m:val="p"/>
                    </m:rPr>
                    <m:t>,</m:t>
                  </m:r>
                  <m:r>
                    <m:rPr>
                      <m:sty m:val="i"/>
                    </m:rPr>
                    <m:t>β</m:t>
                  </m:r>
                  <m:r>
                    <m:rPr>
                      <m:sty m:val="p"/>
                    </m:rPr>
                    <m:t>)</m:t>
                  </m:r>
                  <m:r>
                    <m:rPr>
                      <m:sty m:val="p"/>
                    </m:rPr>
                    <m:t>=</m:t>
                  </m:r>
                  <m:sSub>
                    <m:e>
                      <m:r>
                        <m:rPr>
                          <m:sty m:val="i"/>
                        </m:rPr>
                        <m:t>L</m:t>
                      </m:r>
                    </m:e>
                    <m:sub>
                      <m:box>
                        <m:e>
                          <m:r>
                            <m:rPr>
                              <m:sty m:val="i"/>
                            </m:rPr>
                            <m:t>p</m:t>
                          </m:r>
                          <m:r>
                            <m:rPr>
                              <m:sty m:val="i"/>
                            </m:rPr>
                            <m:t>r</m:t>
                          </m:r>
                          <m:r>
                            <m:rPr>
                              <m:sty m:val="i"/>
                            </m:rPr>
                            <m:t>o</m:t>
                          </m:r>
                          <m:r>
                            <m:rPr>
                              <m:sty m:val="i"/>
                            </m:rPr>
                            <m:t>d</m:t>
                          </m:r>
                          <m:r>
                            <m:rPr>
                              <m:sty m:val="i"/>
                            </m:rPr>
                            <m:t>u</m:t>
                          </m:r>
                          <m:r>
                            <m:rPr>
                              <m:sty m:val="i"/>
                            </m:rPr>
                            <m:t>c</m:t>
                          </m:r>
                          <m:r>
                            <m:rPr>
                              <m:sty m:val="i"/>
                            </m:rPr>
                            <m:t>t</m:t>
                          </m:r>
                          <m:r>
                            <m:rPr>
                              <m:sty m:val="i"/>
                            </m:rPr>
                            <m:t>i</m:t>
                          </m:r>
                          <m:r>
                            <m:rPr>
                              <m:sty m:val="i"/>
                            </m:rPr>
                            <m:t>o</m:t>
                          </m:r>
                          <m:r>
                            <m:rPr>
                              <m:sty m:val="i"/>
                            </m:rPr>
                            <m:t>n</m:t>
                          </m:r>
                        </m:e>
                      </m:box>
                    </m:sub>
                  </m:sSub>
                  <m:r>
                    <m:rPr>
                      <m:sty m:val="p"/>
                    </m:rPr>
                    <m:t>(</m:t>
                  </m:r>
                  <m:r>
                    <m:rPr>
                      <m:sty m:val="i"/>
                    </m:rPr>
                    <m:t>μ</m:t>
                  </m:r>
                  <m:r>
                    <m:rPr>
                      <m:sty m:val="p"/>
                    </m:rPr>
                    <m:t>,</m:t>
                  </m:r>
                  <m:r>
                    <m:rPr>
                      <m:sty m:val="i"/>
                    </m:rPr>
                    <m:t>β</m:t>
                  </m:r>
                  <m:r>
                    <m:rPr>
                      <m:sty m:val="p"/>
                    </m:rPr>
                    <m:t>)</m:t>
                  </m:r>
                  <m:r>
                    <m:rPr>
                      <m:sty m:val="p"/>
                    </m:rPr>
                    <m:t>+</m:t>
                  </m:r>
                  <m:r>
                    <m:rPr>
                      <m:sty m:val="i"/>
                    </m:rPr>
                    <m:t>λ</m:t>
                  </m:r>
                  <m:r>
                    <m:rPr>
                      <m:sty m:val="i"/>
                    </m:rPr>
                    <m:t>·</m:t>
                  </m:r>
                  <m:sSub>
                    <m:e>
                      <m:r>
                        <m:rPr>
                          <m:sty m:val="i"/>
                        </m:rPr>
                        <m:t>L</m:t>
                      </m:r>
                    </m:e>
                    <m:sub>
                      <m:box>
                        <m:e>
                          <m:r>
                            <m:rPr>
                              <m:sty m:val="i"/>
                            </m:rPr>
                            <m:t>w</m:t>
                          </m:r>
                          <m:r>
                            <m:rPr>
                              <m:sty m:val="i"/>
                            </m:rPr>
                            <m:t>e</m:t>
                          </m:r>
                          <m:r>
                            <m:rPr>
                              <m:sty m:val="i"/>
                            </m:rPr>
                            <m:t>a</m:t>
                          </m:r>
                          <m:r>
                            <m:rPr>
                              <m:sty m:val="i"/>
                            </m:rPr>
                            <m:t>l</m:t>
                          </m:r>
                          <m:r>
                            <m:rPr>
                              <m:sty m:val="i"/>
                            </m:rPr>
                            <m:t>t</m:t>
                          </m:r>
                          <m:r>
                            <m:rPr>
                              <m:sty m:val="i"/>
                            </m:rPr>
                            <m:t>h</m:t>
                          </m:r>
                        </m:e>
                      </m:box>
                    </m:sub>
                  </m:sSub>
                  <m:r>
                    <m:rPr>
                      <m:sty m:val="p"/>
                    </m:rPr>
                    <m:t>(</m:t>
                  </m:r>
                  <m:r>
                    <m:rPr>
                      <m:sty m:val="i"/>
                    </m:rPr>
                    <m:t>μ</m:t>
                  </m:r>
                  <m:r>
                    <m:rPr>
                      <m:sty m:val="p"/>
                    </m:rPr>
                    <m:t>,</m:t>
                  </m:r>
                  <m:r>
                    <m:rPr>
                      <m:sty m:val="i"/>
                    </m:rPr>
                    <m:t>β</m:t>
                  </m:r>
                  <m:r>
                    <m:rPr>
                      <m:sty m:val="p"/>
                    </m:rPr>
                    <m:t>)</m:t>
                  </m:r>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(2)</w:t>
            </w:r>
          </w:p>
        </w:tc>
      </w:tr>
    </w:tbl>
    <w:p>
      <w:pPr>
        <w:spacing w:after="120" w:line="360" w:lineRule="auto"/>
        <w:ind w:firstLine="480"/>
      </w:pPr>
      <w:r>
        <w:rPr>
          <w:rFonts w:ascii="Times New Roman" w:hAnsi="Times New Roman" w:eastAsia="MS Mincho"/>
          <w:b w:val="0"/>
          <w:i w:val="0"/>
          <w:sz w:val="20"/>
        </w:rPr>
        <w:t xml:space="preserve">where </w:t>
      </w:r>
      <m:oMath xmlns:mml="http://www.w3.org/1998/Math/MathML">
        <m:box>
          <m:e>
            <m:sSub>
              <m:e>
                <m:r>
                  <m:rPr>
                    <m:sty m:val="i"/>
                  </m:rPr>
                  <m:t>L</m:t>
                </m:r>
              </m:e>
              <m:sub>
                <m:box>
                  <m:e>
                    <m:r>
                      <m:rPr>
                        <m:sty m:val="i"/>
                      </m:rPr>
                      <m:t>p</m:t>
                    </m:r>
                    <m:r>
                      <m:rPr>
                        <m:sty m:val="i"/>
                      </m:rPr>
                      <m:t>r</m:t>
                    </m:r>
                    <m:r>
                      <m:rPr>
                        <m:sty m:val="i"/>
                      </m:rPr>
                      <m:t>o</m:t>
                    </m:r>
                    <m:r>
                      <m:rPr>
                        <m:sty m:val="i"/>
                      </m:rPr>
                      <m:t>d</m:t>
                    </m:r>
                    <m:r>
                      <m:rPr>
                        <m:sty m:val="i"/>
                      </m:rPr>
                      <m:t>u</m:t>
                    </m:r>
                    <m:r>
                      <m:rPr>
                        <m:sty m:val="i"/>
                      </m:rPr>
                      <m:t>c</m:t>
                    </m:r>
                    <m:r>
                      <m:rPr>
                        <m:sty m:val="i"/>
                      </m:rPr>
                      <m:t>t</m:t>
                    </m:r>
                    <m:r>
                      <m:rPr>
                        <m:sty m:val="i"/>
                      </m:rPr>
                      <m:t>i</m:t>
                    </m:r>
                    <m:r>
                      <m:rPr>
                        <m:sty m:val="i"/>
                      </m:rPr>
                      <m:t>o</m:t>
                    </m:r>
                    <m:r>
                      <m:rPr>
                        <m:sty m:val="i"/>
                      </m:rPr>
                      <m:t>n</m:t>
                    </m:r>
                  </m:e>
                </m:box>
              </m:sub>
            </m:sSub>
          </m:e>
        </m:box>
      </m:oMath>
      <w:r>
        <w:rPr>
          <w:rFonts w:ascii="Times New Roman" w:hAnsi="Times New Roman" w:eastAsia="MS Mincho"/>
          <w:b w:val="0"/>
          <w:i w:val="0"/>
          <w:sz w:val="20"/>
        </w:rPr>
        <w:t xml:space="preserve"> is the growth-rate residual from the production function (M3) and </w:t>
      </w:r>
      <m:oMath xmlns:mml="http://www.w3.org/1998/Math/MathML">
        <m:box>
          <m:e>
            <m:sSub>
              <m:e>
                <m:r>
                  <m:rPr>
                    <m:sty m:val="i"/>
                  </m:rPr>
                  <m:t>L</m:t>
                </m:r>
              </m:e>
              <m:sub>
                <m:box>
                  <m:e>
                    <m:r>
                      <m:rPr>
                        <m:sty m:val="i"/>
                      </m:rPr>
                      <m:t>w</m:t>
                    </m:r>
                    <m:r>
                      <m:rPr>
                        <m:sty m:val="i"/>
                      </m:rPr>
                      <m:t>e</m:t>
                    </m:r>
                    <m:r>
                      <m:rPr>
                        <m:sty m:val="i"/>
                      </m:rPr>
                      <m:t>a</m:t>
                    </m:r>
                    <m:r>
                      <m:rPr>
                        <m:sty m:val="i"/>
                      </m:rPr>
                      <m:t>l</m:t>
                    </m:r>
                    <m:r>
                      <m:rPr>
                        <m:sty m:val="i"/>
                      </m:rPr>
                      <m:t>t</m:t>
                    </m:r>
                    <m:r>
                      <m:rPr>
                        <m:sty m:val="i"/>
                      </m:rPr>
                      <m:t>h</m:t>
                    </m:r>
                  </m:e>
                </m:box>
              </m:sub>
            </m:sSub>
          </m:e>
        </m:box>
      </m:oMath>
      <w:r>
        <w:rPr>
          <w:rFonts w:ascii="Times New Roman" w:hAnsi="Times New Roman" w:eastAsia="MS Mincho"/>
          <w:b w:val="0"/>
          <w:i w:val="0"/>
          <w:sz w:val="20"/>
        </w:rPr>
        <w:t xml:space="preserve"> is the within-country trajectory RMSE between the PIM stock </w:t>
      </w:r>
      <m:oMath xmlns:mml="http://www.w3.org/1998/Math/MathML">
        <m:box>
          <m:e>
            <m:sSub>
              <m:e>
                <m:r>
                  <m:rPr>
                    <m:sty m:val="i"/>
                  </m:rPr>
                  <m:t>K</m:t>
                </m:r>
              </m:e>
              <m:sub>
                <m:box>
                  <m:e>
                    <m:r>
                      <m:rPr>
                        <m:sty m:val="i"/>
                      </m:rPr>
                      <m:t>t</m:t>
                    </m:r>
                    <m:r>
                      <m:rPr>
                        <m:sty m:val="i"/>
                      </m:rPr>
                      <m:t>a</m:t>
                    </m:r>
                    <m:r>
                      <m:rPr>
                        <m:sty m:val="i"/>
                      </m:rPr>
                      <m:t>n</m:t>
                    </m:r>
                    <m:r>
                      <m:rPr>
                        <m:sty m:val="i"/>
                      </m:rPr>
                      <m:t>g</m:t>
                    </m:r>
                  </m:e>
                </m:box>
              </m:sub>
            </m:sSub>
            <m:r>
              <m:rPr>
                <m:sty m:val="p"/>
              </m:rPr>
              <m:t>(</m:t>
            </m:r>
            <m:r>
              <m:rPr>
                <m:sty m:val="i"/>
              </m:rPr>
              <m:t>t</m:t>
            </m:r>
            <m:r>
              <m:rPr>
                <m:sty m:val="i"/>
              </m:rPr>
              <m:t>;</m:t>
            </m:r>
            <m:r>
              <m:rPr>
                <m:sty m:val="i"/>
              </m:rPr>
              <m:t>μ</m:t>
            </m:r>
            <m:r>
              <m:rPr>
                <m:sty m:val="p"/>
              </m:rPr>
              <m:t>)</m:t>
            </m:r>
            <m:r>
              <m:rPr>
                <m:sty m:val="p"/>
              </m:rPr>
              <m:t>+</m:t>
            </m:r>
            <m:r>
              <m:rPr>
                <m:sty m:val="i"/>
              </m:rPr>
              <m:t>β</m:t>
            </m:r>
            <m:r>
              <m:rPr>
                <m:sty m:val="i"/>
              </m:rPr>
              <m:t>·</m:t>
            </m:r>
            <m:sSub>
              <m:e>
                <m:r>
                  <m:rPr>
                    <m:sty m:val="i"/>
                  </m:rPr>
                  <m:t>K</m:t>
                </m:r>
              </m:e>
              <m:sub>
                <m:box>
                  <m:e>
                    <m:r>
                      <m:rPr>
                        <m:sty m:val="i"/>
                      </m:rPr>
                      <m:t>I</m:t>
                    </m:r>
                  </m:e>
                </m:box>
              </m:sub>
            </m:sSub>
            <m:r>
              <m:rPr>
                <m:sty m:val="p"/>
              </m:rPr>
              <m:t>(</m:t>
            </m:r>
            <m:r>
              <m:rPr>
                <m:sty m:val="i"/>
              </m:rPr>
              <m:t>t</m:t>
            </m:r>
            <m:r>
              <m:rPr>
                <m:sty m:val="p"/>
              </m:rPr>
              <m:t>)</m:t>
            </m:r>
          </m:e>
        </m:box>
      </m:oMath>
      <w:r>
        <w:rPr>
          <w:rFonts w:ascii="Times New Roman" w:hAnsi="Times New Roman" w:eastAsia="MS Mincho"/>
          <w:b w:val="0"/>
          <w:i w:val="0"/>
          <w:sz w:val="20"/>
        </w:rPr>
        <w:t xml:space="preserve"> and the CWON produced-capital series NW.PCA.TO(t). Minimising (2) delivers the "M4 joint" estimates (</w:t>
      </w:r>
      <m:oMath xmlns:mml="http://www.w3.org/1998/Math/MathML">
        <m:box>
          <m:e>
            <m:sSub>
              <m:e>
                <m:acc>
                  <m:accPr>
                    <m:chr m:val="^"/>
                  </m:accPr>
                  <m:e>
                    <m:r>
                      <m:rPr>
                        <m:sty m:val="i"/>
                      </m:rPr>
                      <m:t>μ</m:t>
                    </m:r>
                  </m:e>
                </m:acc>
              </m:e>
              <m:sub>
                <m:box>
                  <m:e>
                    <m:r>
                      <m:rPr>
                        <m:sty m:val="i"/>
                      </m:rPr>
                      <m:t>j</m:t>
                    </m:r>
                    <m:r>
                      <m:rPr>
                        <m:sty m:val="i"/>
                      </m:rPr>
                      <m:t>o</m:t>
                    </m:r>
                    <m:r>
                      <m:rPr>
                        <m:sty m:val="i"/>
                      </m:rPr>
                      <m:t>i</m:t>
                    </m:r>
                    <m:r>
                      <m:rPr>
                        <m:sty m:val="i"/>
                      </m:rPr>
                      <m:t>n</m:t>
                    </m:r>
                    <m:r>
                      <m:rPr>
                        <m:sty m:val="i"/>
                      </m:rPr>
                      <m:t>t</m:t>
                    </m:r>
                  </m:e>
                </m:box>
              </m:sub>
            </m:sSub>
          </m:e>
        </m:box>
      </m:oMath>
      <w:r>
        <w:rPr>
          <w:rFonts w:ascii="Times New Roman" w:hAnsi="Times New Roman" w:eastAsia="MS Mincho"/>
          <w:b w:val="0"/>
          <w:i w:val="0"/>
          <w:sz w:val="20"/>
        </w:rPr>
        <w:t xml:space="preserve">, </w:t>
      </w:r>
      <m:oMath xmlns:mml="http://www.w3.org/1998/Math/MathML">
        <m:box>
          <m:e>
            <m:sSub>
              <m:e>
                <m:acc>
                  <m:accPr>
                    <m:chr m:val="^"/>
                  </m:accPr>
                  <m:e>
                    <m:r>
                      <m:rPr>
                        <m:sty m:val="i"/>
                      </m:rPr>
                      <m:t>β</m:t>
                    </m:r>
                  </m:e>
                </m:acc>
              </m:e>
              <m:sub>
                <m:box>
                  <m:e>
                    <m:r>
                      <m:rPr>
                        <m:sty m:val="i"/>
                      </m:rPr>
                      <m:t>j</m:t>
                    </m:r>
                    <m:r>
                      <m:rPr>
                        <m:sty m:val="i"/>
                      </m:rPr>
                      <m:t>o</m:t>
                    </m:r>
                    <m:r>
                      <m:rPr>
                        <m:sty m:val="i"/>
                      </m:rPr>
                      <m:t>i</m:t>
                    </m:r>
                    <m:r>
                      <m:rPr>
                        <m:sty m:val="i"/>
                      </m:rPr>
                      <m:t>n</m:t>
                    </m:r>
                    <m:r>
                      <m:rPr>
                        <m:sty m:val="i"/>
                      </m:rPr>
                      <m:t>t</m:t>
                    </m:r>
                  </m:e>
                </m:box>
              </m:sub>
            </m:sSub>
          </m:e>
        </m:box>
      </m:oMath>
      <w:r>
        <w:rPr>
          <w:rFonts w:ascii="Times New Roman" w:hAnsi="Times New Roman" w:eastAsia="MS Mincho"/>
          <w:b w:val="0"/>
          <w:i w:val="0"/>
          <w:sz w:val="20"/>
        </w:rPr>
        <w:t xml:space="preserve">) used below; setting </w:t>
      </w:r>
      <m:oMath xmlns:mml="http://www.w3.org/1998/Math/MathML">
        <m:box>
          <m:e>
            <m:r>
              <m:rPr>
                <m:sty m:val="i"/>
              </m:rPr>
              <m:t>λ</m:t>
            </m:r>
            <m:r>
              <m:rPr>
                <m:sty m:val="p"/>
              </m:rPr>
              <m:t>=</m:t>
            </m:r>
            <m:r>
              <m:rPr>
                <m:sty m:val="p"/>
              </m:rPr>
              <m:t>0</m:t>
            </m:r>
          </m:e>
        </m:box>
      </m:oMath>
      <w:r>
        <w:rPr>
          <w:rFonts w:ascii="Times New Roman" w:hAnsi="Times New Roman" w:eastAsia="MS Mincho"/>
          <w:b w:val="0"/>
          <w:i w:val="0"/>
          <w:sz w:val="20"/>
        </w:rPr>
        <w:t xml:space="preserve"> recovers production-only estimates.</w:t>
      </w:r>
    </w:p>
    <w:p>
      <w:pPr>
        <w:spacing w:before="360" w:after="120" w:line="360" w:lineRule="auto"/>
        <w:ind w:firstLine="0"/>
        <w:jc w:val="left"/>
      </w:pPr>
      <w:r>
        <w:rPr>
          <w:rFonts w:ascii="Times New Roman" w:hAnsi="Times New Roman" w:eastAsia="MS Mincho"/>
          <w:b/>
          <w:i w:val="0"/>
          <w:sz w:val="24"/>
        </w:rPr>
        <w:t>3.3 Quantum–tempo correspondence between population and capital</w:t>
      </w:r>
    </w:p>
    <w:p>
      <w:pPr>
        <w:spacing w:after="120" w:line="360" w:lineRule="auto"/>
        <w:ind w:firstLine="480"/>
      </w:pPr>
      <w:r>
        <w:rPr>
          <w:rFonts w:ascii="Times New Roman" w:hAnsi="Times New Roman" w:eastAsia="MS Mincho"/>
          <w:b w:val="0"/>
          <w:i w:val="0"/>
          <w:sz w:val="20"/>
        </w:rPr>
        <w:t xml:space="preserve">Supplementary Table 1 lays out the one-to-one mapping between the demographic variables that Bongaarts and Feeney (1998), Goldstein et al. (2003), and their successors analysed and the capital-accounting variables we analyse. Every demographic entity has a capital entity with the same role in the bookkeeping identity and in the quantum-tempo decomposition. This is more than mnemonic: it implies that the statistical tools used to identify </w:t>
      </w:r>
      <m:oMath xmlns:mml="http://www.w3.org/1998/Math/MathML">
        <m:box>
          <m:e>
            <m:r>
              <m:rPr>
                <m:sty m:val="i"/>
              </m:rPr>
              <m:t>σ</m:t>
            </m:r>
          </m:e>
        </m:box>
      </m:oMath>
      <w:r>
        <w:rPr>
          <w:rFonts w:ascii="Times New Roman" w:hAnsi="Times New Roman" w:eastAsia="MS Mincho"/>
          <w:b w:val="0"/>
          <w:i w:val="0"/>
          <w:sz w:val="20"/>
        </w:rPr>
        <w:t xml:space="preserve"> from fertility tempo (cohort-consistency tests, Brass relational models) have direct analogues in capital accounting, which we exploit.</w:t>
      </w:r>
    </w:p>
    <w:p>
      <w:pPr>
        <w:spacing w:before="360" w:after="120" w:line="360" w:lineRule="auto"/>
        <w:ind w:firstLine="0"/>
        <w:jc w:val="left"/>
      </w:pPr>
      <w:r>
        <w:rPr>
          <w:rFonts w:ascii="Times New Roman" w:hAnsi="Times New Roman" w:eastAsia="MS Mincho"/>
          <w:b/>
          <w:i w:val="0"/>
          <w:sz w:val="24"/>
        </w:rPr>
        <w:t>3.4 Relational PIM: a Brass model for capital accounting</w:t>
      </w:r>
    </w:p>
    <w:p>
      <w:pPr>
        <w:spacing w:after="120" w:line="360" w:lineRule="auto"/>
        <w:ind w:firstLine="480"/>
      </w:pPr>
      <w:r>
        <w:rPr>
          <w:rFonts w:ascii="Times New Roman" w:hAnsi="Times New Roman" w:eastAsia="MS Mincho"/>
          <w:b w:val="0"/>
          <w:i w:val="0"/>
          <w:sz w:val="20"/>
        </w:rPr>
        <w:t xml:space="preserve">Demography has long employed Brass relational models to compare an observed fertility or mortality schedule against a "standard" schedule via a small number of parameters that capture systematic deviations (Brass, 1971). We transplant this idea to capital accounting. Let </w:t>
      </w:r>
      <m:oMath xmlns:mml="http://www.w3.org/1998/Math/MathML">
        <m:box>
          <m:e>
            <m:sSub>
              <m:e>
                <m:r>
                  <m:rPr>
                    <m:sty m:val="i"/>
                  </m:rPr>
                  <m:t>K</m:t>
                </m:r>
              </m:e>
              <m:sub>
                <m:box>
                  <m:e>
                    <m:r>
                      <m:rPr>
                        <m:sty m:val="i"/>
                      </m:rPr>
                      <m:t>P</m:t>
                    </m:r>
                    <m:r>
                      <m:rPr>
                        <m:sty m:val="i"/>
                      </m:rPr>
                      <m:t>I</m:t>
                    </m:r>
                    <m:r>
                      <m:rPr>
                        <m:sty m:val="i"/>
                      </m:rPr>
                      <m:t>M</m:t>
                    </m:r>
                  </m:e>
                </m:box>
              </m:sub>
            </m:sSub>
            <m:r>
              <m:rPr>
                <m:sty m:val="p"/>
              </m:rPr>
              <m:t>(</m:t>
            </m:r>
            <m:r>
              <m:rPr>
                <m:sty m:val="i"/>
              </m:rPr>
              <m:t>t</m:t>
            </m:r>
            <m:r>
              <m:rPr>
                <m:sty m:val="p"/>
              </m:rPr>
              <m:t>)</m:t>
            </m:r>
          </m:e>
        </m:box>
      </m:oMath>
      <w:r>
        <w:rPr>
          <w:rFonts w:ascii="Times New Roman" w:hAnsi="Times New Roman" w:eastAsia="MS Mincho"/>
          <w:b w:val="0"/>
          <w:i w:val="0"/>
          <w:sz w:val="20"/>
        </w:rPr>
        <w:t xml:space="preserve"> denote the PIM-constructed stock under any of M0–M4, and let </w:t>
      </w:r>
      <m:oMath xmlns:mml="http://www.w3.org/1998/Math/MathML">
        <m:box>
          <m:e>
            <m:sSub>
              <m:e>
                <m:r>
                  <m:rPr>
                    <m:sty m:val="i"/>
                  </m:rPr>
                  <m:t>K</m:t>
                </m:r>
              </m:e>
              <m:sub>
                <m:box>
                  <m:e>
                    <m:r>
                      <m:rPr>
                        <m:sty m:val="i"/>
                      </m:rPr>
                      <m:t>C</m:t>
                    </m:r>
                    <m:r>
                      <m:rPr>
                        <m:sty m:val="i"/>
                      </m:rPr>
                      <m:t>W</m:t>
                    </m:r>
                    <m:r>
                      <m:rPr>
                        <m:sty m:val="i"/>
                      </m:rPr>
                      <m:t>O</m:t>
                    </m:r>
                    <m:r>
                      <m:rPr>
                        <m:sty m:val="i"/>
                      </m:rPr>
                      <m:t>N</m:t>
                    </m:r>
                  </m:e>
                </m:box>
              </m:sub>
            </m:sSub>
            <m:r>
              <m:rPr>
                <m:sty m:val="p"/>
              </m:rPr>
              <m:t>(</m:t>
            </m:r>
            <m:r>
              <m:rPr>
                <m:sty m:val="i"/>
              </m:rPr>
              <m:t>t</m:t>
            </m:r>
            <m:r>
              <m:rPr>
                <m:sty m:val="p"/>
              </m:rPr>
              <m:t>)</m:t>
            </m:r>
          </m:e>
        </m:box>
      </m:oMath>
      <w:r>
        <w:rPr>
          <w:rFonts w:ascii="Times New Roman" w:hAnsi="Times New Roman" w:eastAsia="MS Mincho"/>
          <w:b w:val="0"/>
          <w:i w:val="0"/>
          <w:sz w:val="20"/>
        </w:rPr>
        <w:t xml:space="preserve"> denote CWON produced capital NW.PCA.TO. We define the </w:t>
      </w:r>
      <w:r>
        <w:rPr>
          <w:rFonts w:ascii="Times New Roman" w:hAnsi="Times New Roman" w:eastAsia="MS Mincho"/>
          <w:b/>
          <w:i w:val="0"/>
          <w:sz w:val="20"/>
        </w:rPr>
        <w:t>Relational PIM</w:t>
      </w:r>
      <w:r>
        <w:rPr>
          <w:rFonts w:ascii="Times New Roman" w:hAnsi="Times New Roman" w:eastAsia="MS Mincho"/>
          <w:b w:val="0"/>
          <w:i w:val="0"/>
          <w:sz w:val="20"/>
        </w:rPr>
        <w:t xml:space="preserve"> (RPIM) as: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r>
                    <m:rPr>
                      <m:sty m:val="p"/>
                    </m:rPr>
                    <m:t>log</m:t>
                  </m:r>
                  <m:sSub>
                    <m:e>
                      <m:r>
                        <m:rPr>
                          <m:sty m:val="i"/>
                        </m:rPr>
                        <m:t>K</m:t>
                      </m:r>
                    </m:e>
                    <m:sub>
                      <m:box>
                        <m:e>
                          <m:r>
                            <m:rPr>
                              <m:sty m:val="i"/>
                            </m:rPr>
                            <m:t>P</m:t>
                          </m:r>
                          <m:r>
                            <m:rPr>
                              <m:sty m:val="i"/>
                            </m:rPr>
                            <m:t>I</m:t>
                          </m:r>
                          <m:r>
                            <m:rPr>
                              <m:sty m:val="i"/>
                            </m:rPr>
                            <m:t>M</m:t>
                          </m:r>
                        </m:e>
                      </m:box>
                    </m:sub>
                  </m:sSub>
                  <m:r>
                    <m:rPr>
                      <m:sty m:val="p"/>
                    </m:rPr>
                    <m:t>(</m:t>
                  </m:r>
                  <m:r>
                    <m:rPr>
                      <m:sty m:val="i"/>
                    </m:rPr>
                    <m:t>t</m:t>
                  </m:r>
                  <m:r>
                    <m:rPr>
                      <m:sty m:val="p"/>
                    </m:rPr>
                    <m:t>)</m:t>
                  </m:r>
                  <m:r>
                    <m:rPr>
                      <m:sty m:val="p"/>
                    </m:rPr>
                    <m:t>=</m:t>
                  </m:r>
                  <m:sSub>
                    <m:e>
                      <m:r>
                        <m:rPr>
                          <m:sty m:val="i"/>
                        </m:rPr>
                        <m:t>ρ</m:t>
                      </m:r>
                    </m:e>
                    <m:sub>
                      <m:r>
                        <m:rPr>
                          <m:sty m:val="p"/>
                        </m:rPr>
                        <m:t>1</m:t>
                      </m:r>
                    </m:sub>
                  </m:sSub>
                  <m:r>
                    <m:rPr>
                      <m:sty m:val="p"/>
                    </m:rPr>
                    <m:t>+</m:t>
                  </m:r>
                  <m:sSub>
                    <m:e>
                      <m:r>
                        <m:rPr>
                          <m:sty m:val="i"/>
                        </m:rPr>
                        <m:t>ρ</m:t>
                      </m:r>
                    </m:e>
                    <m:sub>
                      <m:r>
                        <m:rPr>
                          <m:sty m:val="p"/>
                        </m:rPr>
                        <m:t>2</m:t>
                      </m:r>
                    </m:sub>
                  </m:sSub>
                  <m:r>
                    <m:rPr>
                      <m:sty m:val="i"/>
                    </m:rPr>
                    <m:t>·</m:t>
                  </m:r>
                  <m:r>
                    <m:rPr>
                      <m:sty m:val="p"/>
                    </m:rPr>
                    <m:t>log</m:t>
                  </m:r>
                  <m:sSub>
                    <m:e>
                      <m:r>
                        <m:rPr>
                          <m:sty m:val="i"/>
                        </m:rPr>
                        <m:t>K</m:t>
                      </m:r>
                    </m:e>
                    <m:sub>
                      <m:box>
                        <m:e>
                          <m:r>
                            <m:rPr>
                              <m:sty m:val="i"/>
                            </m:rPr>
                            <m:t>C</m:t>
                          </m:r>
                          <m:r>
                            <m:rPr>
                              <m:sty m:val="i"/>
                            </m:rPr>
                            <m:t>W</m:t>
                          </m:r>
                          <m:r>
                            <m:rPr>
                              <m:sty m:val="i"/>
                            </m:rPr>
                            <m:t>O</m:t>
                          </m:r>
                          <m:r>
                            <m:rPr>
                              <m:sty m:val="i"/>
                            </m:rPr>
                            <m:t>N</m:t>
                          </m:r>
                        </m:e>
                      </m:box>
                    </m:sub>
                  </m:sSub>
                  <m:r>
                    <m:rPr>
                      <m:sty m:val="p"/>
                    </m:rPr>
                    <m:t>(</m:t>
                  </m:r>
                  <m:r>
                    <m:rPr>
                      <m:sty m:val="i"/>
                    </m:rPr>
                    <m:t>t</m:t>
                  </m:r>
                  <m:r>
                    <m:rPr>
                      <m:sty m:val="p"/>
                    </m:rPr>
                    <m:t>)</m:t>
                  </m:r>
                  <m:r>
                    <m:rPr>
                      <m:sty m:val="p"/>
                    </m:rPr>
                    <m:t>+</m:t>
                  </m:r>
                  <m:r>
                    <m:rPr>
                      <m:sty m:val="i"/>
                    </m:rPr>
                    <m:t>ε</m:t>
                  </m:r>
                  <m:r>
                    <m:rPr>
                      <m:sty m:val="p"/>
                    </m:rPr>
                    <m:t>(</m:t>
                  </m:r>
                  <m:r>
                    <m:rPr>
                      <m:sty m:val="i"/>
                    </m:rPr>
                    <m:t>t</m:t>
                  </m:r>
                  <m:r>
                    <m:rPr>
                      <m:sty m:val="p"/>
                    </m:rPr>
                    <m:t>)</m:t>
                  </m:r>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(M5)</w:t>
            </w:r>
          </w:p>
        </w:tc>
      </w:tr>
    </w:tbl>
    <w:p>
      <w:pPr>
        <w:spacing w:after="120" w:line="360" w:lineRule="auto"/>
        <w:ind w:firstLine="480"/>
      </w:pPr>
      <w:r>
        <w:rPr>
          <w:rFonts w:ascii="Times New Roman" w:hAnsi="Times New Roman" w:eastAsia="MS Mincho"/>
          <w:b w:val="0"/>
          <w:i w:val="0"/>
          <w:sz w:val="20"/>
        </w:rPr>
        <w:t>where (</w:t>
      </w:r>
      <m:oMath xmlns:mml="http://www.w3.org/1998/Math/MathML">
        <m:box>
          <m:e>
            <m:sSub>
              <m:e>
                <m:r>
                  <m:rPr>
                    <m:sty m:val="i"/>
                  </m:rPr>
                  <m:t>ρ</m:t>
                </m:r>
              </m:e>
              <m:sub>
                <m:r>
                  <m:rPr>
                    <m:sty m:val="p"/>
                  </m:rPr>
                  <m:t>1</m:t>
                </m:r>
              </m:sub>
            </m:sSub>
          </m:e>
        </m:box>
      </m:oMath>
      <w:r>
        <w:rPr>
          <w:rFonts w:ascii="Times New Roman" w:hAnsi="Times New Roman" w:eastAsia="MS Mincho"/>
          <w:b w:val="0"/>
          <w:i w:val="0"/>
          <w:sz w:val="20"/>
        </w:rPr>
        <w:t xml:space="preserve">, </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are the relational parameters estimated by OLS on the overlapping years where both series are observed and positive. The interpretation is direct:</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ρ₂ = 1 and ρ₁ = 0</w:t>
      </w:r>
      <w:r>
        <w:rPr>
          <w:rFonts w:ascii="Times New Roman" w:hAnsi="Times New Roman" w:eastAsia="MS Mincho"/>
          <w:b w:val="0"/>
          <w:i w:val="0"/>
          <w:sz w:val="20"/>
        </w:rPr>
        <w:t>: the PIM and CWON accounts are fully consistent — they measure the same latent stock up to a white-noise error.</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ρ₂ ≠ 1</w:t>
      </w:r>
      <w:r>
        <w:rPr>
          <w:rFonts w:ascii="Times New Roman" w:hAnsi="Times New Roman" w:eastAsia="MS Mincho"/>
          <w:b w:val="0"/>
          <w:i w:val="0"/>
          <w:sz w:val="20"/>
        </w:rPr>
        <w:t xml:space="preserve">: there is a cumulative (scale-dependent) bias in the PIM relative to CWON. If </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xml:space="preserve"> &lt; 1, the PIM understates the growth of capital relative to CWON; if </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xml:space="preserve"> &gt; 1, it overstates it.</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ρ₁ ≠ 0</w:t>
      </w:r>
      <w:r>
        <w:rPr>
          <w:rFonts w:ascii="Times New Roman" w:hAnsi="Times New Roman" w:eastAsia="MS Mincho"/>
          <w:b w:val="0"/>
          <w:i w:val="0"/>
          <w:sz w:val="20"/>
        </w:rPr>
        <w:t>: there is a level shift between the two accounts, capturing differences in base-year calibration, PPP conversions, or asset coverage.</w:t>
      </w:r>
    </w:p>
    <w:p>
      <w:pPr>
        <w:spacing w:after="120" w:line="360" w:lineRule="auto"/>
        <w:ind w:firstLine="480"/>
      </w:pPr>
      <w:r>
        <w:rPr>
          <w:rFonts w:ascii="Times New Roman" w:hAnsi="Times New Roman" w:eastAsia="MS Mincho"/>
          <w:b w:val="0"/>
          <w:i w:val="0"/>
          <w:sz w:val="20"/>
        </w:rPr>
        <w:t xml:space="preserve">The novelty is threefold. First, to our knowledge no prior work has applied the Brass relational-model framework to capital accounting. Second, the RPIM does not treat CWON as "truth" — it parameterises the </w:t>
      </w:r>
      <w:r>
        <w:rPr>
          <w:rFonts w:ascii="Times New Roman" w:hAnsi="Times New Roman" w:eastAsia="MS Mincho"/>
          <w:b w:val="0"/>
          <w:i/>
          <w:sz w:val="20"/>
        </w:rPr>
        <w:t>relationship</w:t>
      </w:r>
      <w:r>
        <w:rPr>
          <w:rFonts w:ascii="Times New Roman" w:hAnsi="Times New Roman" w:eastAsia="MS Mincho"/>
          <w:b w:val="0"/>
          <w:i w:val="0"/>
          <w:sz w:val="20"/>
        </w:rPr>
        <w:t xml:space="preserve"> between two independent estimates of the same latent stock, making systematic biases visible and quantifiable. Third, the diagnostic (</w:t>
      </w:r>
      <m:oMath xmlns:mml="http://www.w3.org/1998/Math/MathML">
        <m:box>
          <m:e>
            <m:sSub>
              <m:e>
                <m:r>
                  <m:rPr>
                    <m:sty m:val="i"/>
                  </m:rPr>
                  <m:t>ρ</m:t>
                </m:r>
              </m:e>
              <m:sub>
                <m:r>
                  <m:rPr>
                    <m:sty m:val="p"/>
                  </m:rPr>
                  <m:t>1</m:t>
                </m:r>
              </m:sub>
            </m:sSub>
          </m:e>
        </m:box>
      </m:oMath>
      <w:r>
        <w:rPr>
          <w:rFonts w:ascii="Times New Roman" w:hAnsi="Times New Roman" w:eastAsia="MS Mincho"/>
          <w:b w:val="0"/>
          <w:i w:val="0"/>
          <w:sz w:val="20"/>
        </w:rPr>
        <w:t xml:space="preserve">, </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xml:space="preserve">) can be computed under each model specification (M0 through M4), so improvement in </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xml:space="preserve"> toward unity serves as an independent check on whether the tempo and intangible corrections actually bring the two accounts closer together.</w:t>
      </w:r>
    </w:p>
    <w:p>
      <w:pPr>
        <w:spacing w:before="360" w:after="120" w:line="360" w:lineRule="auto"/>
        <w:ind w:firstLine="0"/>
        <w:jc w:val="left"/>
      </w:pPr>
      <w:r>
        <w:rPr>
          <w:rFonts w:ascii="Times New Roman" w:hAnsi="Times New Roman" w:eastAsia="MS Mincho"/>
          <w:b/>
          <w:i w:val="0"/>
          <w:sz w:val="24"/>
        </w:rPr>
        <w:t>4 Data and methods</w:t>
      </w:r>
    </w:p>
    <w:p>
      <w:pPr>
        <w:spacing w:before="360" w:after="120" w:line="360" w:lineRule="auto"/>
        <w:ind w:firstLine="0"/>
        <w:jc w:val="left"/>
      </w:pPr>
      <w:r>
        <w:rPr>
          <w:rFonts w:ascii="Times New Roman" w:hAnsi="Times New Roman" w:eastAsia="MS Mincho"/>
          <w:b/>
          <w:i w:val="0"/>
          <w:sz w:val="24"/>
        </w:rPr>
        <w:t>4.1 Data</w:t>
      </w:r>
    </w:p>
    <w:p>
      <w:pPr>
        <w:spacing w:after="120" w:line="360" w:lineRule="auto"/>
        <w:ind w:firstLine="480"/>
      </w:pPr>
      <w:r>
        <w:rPr>
          <w:rFonts w:ascii="Times New Roman" w:hAnsi="Times New Roman" w:eastAsia="MS Mincho"/>
          <w:b w:val="0"/>
          <w:i w:val="0"/>
          <w:sz w:val="20"/>
        </w:rPr>
        <w:t xml:space="preserve">We use </w:t>
      </w:r>
      <w:r>
        <w:rPr>
          <w:rFonts w:ascii="Times New Roman" w:hAnsi="Times New Roman" w:eastAsia="MS Mincho"/>
          <w:b/>
          <w:i w:val="0"/>
          <w:sz w:val="20"/>
        </w:rPr>
        <w:t>Penn World Table 10.01</w:t>
      </w:r>
      <w:r>
        <w:rPr>
          <w:rFonts w:ascii="Times New Roman" w:hAnsi="Times New Roman" w:eastAsia="MS Mincho"/>
          <w:b w:val="0"/>
          <w:i w:val="0"/>
          <w:sz w:val="20"/>
        </w:rPr>
        <w:t xml:space="preserve"> (Feenstra et al., 2015) for real GDP output (</w:t>
      </w:r>
      <w:r>
        <w:rPr>
          <w:rFonts w:ascii="Times New Roman" w:hAnsi="Times New Roman" w:eastAsia="MS Mincho"/>
          <w:b w:val="0"/>
          <w:i/>
          <w:sz w:val="20"/>
        </w:rPr>
        <w:t>rgdpna</w:t>
      </w:r>
      <w:r>
        <w:rPr>
          <w:rFonts w:ascii="Times New Roman" w:hAnsi="Times New Roman" w:eastAsia="MS Mincho"/>
          <w:b w:val="0"/>
          <w:i w:val="0"/>
          <w:sz w:val="20"/>
        </w:rPr>
        <w:t>), tangible capital stock (</w:t>
      </w:r>
      <w:r>
        <w:rPr>
          <w:rFonts w:ascii="Times New Roman" w:hAnsi="Times New Roman" w:eastAsia="MS Mincho"/>
          <w:b w:val="0"/>
          <w:i/>
          <w:sz w:val="20"/>
        </w:rPr>
        <w:t>rnna</w:t>
      </w:r>
      <w:r>
        <w:rPr>
          <w:rFonts w:ascii="Times New Roman" w:hAnsi="Times New Roman" w:eastAsia="MS Mincho"/>
          <w:b w:val="0"/>
          <w:i w:val="0"/>
          <w:sz w:val="20"/>
        </w:rPr>
        <w:t>), investment share (</w:t>
      </w:r>
      <m:oMath xmlns:mml="http://www.w3.org/1998/Math/MathML">
        <m:box>
          <m:e>
            <m:r>
              <m:rPr>
                <m:sty m:val="i"/>
              </m:rPr>
              <m:t>c</m:t>
            </m:r>
            <m:r>
              <m:rPr>
                <m:sty m:val="i"/>
              </m:rPr>
              <m:t>s</m:t>
            </m:r>
            <m:sSub>
              <m:e>
                <m:r>
                  <m:rPr>
                    <m:sty m:val="i"/>
                  </m:rPr>
                  <m:t>h</m:t>
                </m:r>
              </m:e>
              <m:sub>
                <m:box>
                  <m:e>
                    <m:r>
                      <m:rPr>
                        <m:sty m:val="i"/>
                      </m:rPr>
                      <m:t>i</m:t>
                    </m:r>
                  </m:e>
                </m:box>
              </m:sub>
            </m:sSub>
          </m:e>
        </m:box>
      </m:oMath>
      <w:r>
        <w:rPr>
          <w:rFonts w:ascii="Times New Roman" w:hAnsi="Times New Roman" w:eastAsia="MS Mincho"/>
          <w:b w:val="0"/>
          <w:i w:val="0"/>
          <w:sz w:val="20"/>
        </w:rPr>
        <w:t>), depreciation (</w:t>
      </w:r>
      <w:r>
        <w:rPr>
          <w:rFonts w:ascii="Times New Roman" w:hAnsi="Times New Roman" w:eastAsia="MS Mincho"/>
          <w:b w:val="0"/>
          <w:i/>
          <w:sz w:val="20"/>
        </w:rPr>
        <w:t>delta</w:t>
      </w:r>
      <w:r>
        <w:rPr>
          <w:rFonts w:ascii="Times New Roman" w:hAnsi="Times New Roman" w:eastAsia="MS Mincho"/>
          <w:b w:val="0"/>
          <w:i w:val="0"/>
          <w:sz w:val="20"/>
        </w:rPr>
        <w:t>), employment (</w:t>
      </w:r>
      <w:r>
        <w:rPr>
          <w:rFonts w:ascii="Times New Roman" w:hAnsi="Times New Roman" w:eastAsia="MS Mincho"/>
          <w:b w:val="0"/>
          <w:i/>
          <w:sz w:val="20"/>
        </w:rPr>
        <w:t>emp</w:t>
      </w:r>
      <w:r>
        <w:rPr>
          <w:rFonts w:ascii="Times New Roman" w:hAnsi="Times New Roman" w:eastAsia="MS Mincho"/>
          <w:b w:val="0"/>
          <w:i w:val="0"/>
          <w:sz w:val="20"/>
        </w:rPr>
        <w:t>), average hours (</w:t>
      </w:r>
      <w:r>
        <w:rPr>
          <w:rFonts w:ascii="Times New Roman" w:hAnsi="Times New Roman" w:eastAsia="MS Mincho"/>
          <w:b w:val="0"/>
          <w:i/>
          <w:sz w:val="20"/>
        </w:rPr>
        <w:t>avh</w:t>
      </w:r>
      <w:r>
        <w:rPr>
          <w:rFonts w:ascii="Times New Roman" w:hAnsi="Times New Roman" w:eastAsia="MS Mincho"/>
          <w:b w:val="0"/>
          <w:i w:val="0"/>
          <w:sz w:val="20"/>
        </w:rPr>
        <w:t>), human-capital index (</w:t>
      </w:r>
      <w:r>
        <w:rPr>
          <w:rFonts w:ascii="Times New Roman" w:hAnsi="Times New Roman" w:eastAsia="MS Mincho"/>
          <w:b w:val="0"/>
          <w:i/>
          <w:sz w:val="20"/>
        </w:rPr>
        <w:t>hc</w:t>
      </w:r>
      <w:r>
        <w:rPr>
          <w:rFonts w:ascii="Times New Roman" w:hAnsi="Times New Roman" w:eastAsia="MS Mincho"/>
          <w:b w:val="0"/>
          <w:i w:val="0"/>
          <w:sz w:val="20"/>
        </w:rPr>
        <w:t>), and labour share (</w:t>
      </w:r>
      <w:r>
        <w:rPr>
          <w:rFonts w:ascii="Times New Roman" w:hAnsi="Times New Roman" w:eastAsia="MS Mincho"/>
          <w:b w:val="0"/>
          <w:i/>
          <w:sz w:val="20"/>
        </w:rPr>
        <w:t>labsh</w:t>
      </w:r>
      <w:r>
        <w:rPr>
          <w:rFonts w:ascii="Times New Roman" w:hAnsi="Times New Roman" w:eastAsia="MS Mincho"/>
          <w:b w:val="0"/>
          <w:i w:val="0"/>
          <w:sz w:val="20"/>
        </w:rPr>
        <w:t xml:space="preserve">). For R&amp;D intensity we use </w:t>
      </w:r>
      <w:r>
        <w:rPr>
          <w:rFonts w:ascii="Times New Roman" w:hAnsi="Times New Roman" w:eastAsia="MS Mincho"/>
          <w:b/>
          <w:i w:val="0"/>
          <w:sz w:val="20"/>
        </w:rPr>
        <w:t>World Bank WDI</w:t>
      </w:r>
      <w:r>
        <w:rPr>
          <w:rFonts w:ascii="Times New Roman" w:hAnsi="Times New Roman" w:eastAsia="MS Mincho"/>
          <w:b w:val="0"/>
          <w:i w:val="0"/>
          <w:sz w:val="20"/>
        </w:rPr>
        <w:t xml:space="preserve"> series </w:t>
      </w:r>
      <w:r>
        <w:rPr>
          <w:rFonts w:ascii="Times New Roman" w:hAnsi="Times New Roman" w:eastAsia="MS Mincho"/>
          <w:b w:val="0"/>
          <w:i/>
          <w:sz w:val="20"/>
        </w:rPr>
        <w:t>GB.XPD.RSDV.GD.ZS</w:t>
      </w:r>
      <w:r>
        <w:rPr>
          <w:rFonts w:ascii="Times New Roman" w:hAnsi="Times New Roman" w:eastAsia="MS Mincho"/>
          <w:b w:val="0"/>
          <w:i w:val="0"/>
          <w:sz w:val="20"/>
        </w:rPr>
        <w:t xml:space="preserve">. For wealth we use </w:t>
      </w:r>
      <w:r>
        <w:rPr>
          <w:rFonts w:ascii="Times New Roman" w:hAnsi="Times New Roman" w:eastAsia="MS Mincho"/>
          <w:b/>
          <w:i w:val="0"/>
          <w:sz w:val="20"/>
        </w:rPr>
        <w:t>World Bank Changing Wealth of Nations</w:t>
      </w:r>
      <w:r>
        <w:rPr>
          <w:rFonts w:ascii="Times New Roman" w:hAnsi="Times New Roman" w:eastAsia="MS Mincho"/>
          <w:b w:val="0"/>
          <w:i w:val="0"/>
          <w:sz w:val="20"/>
        </w:rPr>
        <w:t xml:space="preserve"> 2021 release (Lange et al., 2021) — specifically </w:t>
      </w:r>
      <w:r>
        <w:rPr>
          <w:rFonts w:ascii="Times New Roman" w:hAnsi="Times New Roman" w:eastAsia="MS Mincho"/>
          <w:b w:val="0"/>
          <w:i/>
          <w:sz w:val="20"/>
        </w:rPr>
        <w:t>NW.PCA.TO</w:t>
      </w:r>
      <w:r>
        <w:rPr>
          <w:rFonts w:ascii="Times New Roman" w:hAnsi="Times New Roman" w:eastAsia="MS Mincho"/>
          <w:b w:val="0"/>
          <w:i w:val="0"/>
          <w:sz w:val="20"/>
        </w:rPr>
        <w:t xml:space="preserve"> (produced capital total), </w:t>
      </w:r>
      <w:r>
        <w:rPr>
          <w:rFonts w:ascii="Times New Roman" w:hAnsi="Times New Roman" w:eastAsia="MS Mincho"/>
          <w:b w:val="0"/>
          <w:i/>
          <w:sz w:val="20"/>
        </w:rPr>
        <w:t>NW.HCA.TO</w:t>
      </w:r>
      <w:r>
        <w:rPr>
          <w:rFonts w:ascii="Times New Roman" w:hAnsi="Times New Roman" w:eastAsia="MS Mincho"/>
          <w:b w:val="0"/>
          <w:i w:val="0"/>
          <w:sz w:val="20"/>
        </w:rPr>
        <w:t xml:space="preserve"> (human capital total), and </w:t>
      </w:r>
      <w:r>
        <w:rPr>
          <w:rFonts w:ascii="Times New Roman" w:hAnsi="Times New Roman" w:eastAsia="MS Mincho"/>
          <w:b w:val="0"/>
          <w:i/>
          <w:sz w:val="20"/>
        </w:rPr>
        <w:t>NW.TOW.TO</w:t>
      </w:r>
      <w:r>
        <w:rPr>
          <w:rFonts w:ascii="Times New Roman" w:hAnsi="Times New Roman" w:eastAsia="MS Mincho"/>
          <w:b w:val="0"/>
          <w:i w:val="0"/>
          <w:sz w:val="20"/>
        </w:rPr>
        <w:t xml:space="preserve"> (total wealth). For the observable-tempo construction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we use </w:t>
      </w:r>
      <w:r>
        <w:rPr>
          <w:rFonts w:ascii="Times New Roman" w:hAnsi="Times New Roman" w:eastAsia="MS Mincho"/>
          <w:b/>
          <w:i w:val="0"/>
          <w:sz w:val="20"/>
        </w:rPr>
        <w:t>OECD gross fixed capital formation by asset type</w:t>
      </w:r>
      <w:r>
        <w:rPr>
          <w:rFonts w:ascii="Times New Roman" w:hAnsi="Times New Roman" w:eastAsia="MS Mincho"/>
          <w:b w:val="0"/>
          <w:i w:val="0"/>
          <w:sz w:val="20"/>
        </w:rPr>
        <w:t xml:space="preserve"> (OECD.Stat, SNA Table 8A), which reports investment broken down by asset category (dwellings, other buildings, transport equipment, ICT equipment, other machinery, intellectual property products) for all OECD member states.</w:t>
      </w:r>
    </w:p>
    <w:p>
      <w:pPr>
        <w:spacing w:after="120" w:line="360" w:lineRule="auto"/>
        <w:ind w:firstLine="480"/>
      </w:pPr>
      <w:r>
        <w:rPr>
          <w:rFonts w:ascii="Times New Roman" w:hAnsi="Times New Roman" w:eastAsia="MS Mincho"/>
          <w:b w:val="0"/>
          <w:i w:val="0"/>
          <w:sz w:val="20"/>
        </w:rPr>
        <w:t xml:space="preserve">One caveat on double counting matters. PWT </w:t>
      </w:r>
      <w:r>
        <w:rPr>
          <w:rFonts w:ascii="Times New Roman" w:hAnsi="Times New Roman" w:eastAsia="MS Mincho"/>
          <w:b w:val="0"/>
          <w:i/>
          <w:sz w:val="20"/>
        </w:rPr>
        <w:t>rnna</w:t>
      </w:r>
      <w:r>
        <w:rPr>
          <w:rFonts w:ascii="Times New Roman" w:hAnsi="Times New Roman" w:eastAsia="MS Mincho"/>
          <w:b w:val="0"/>
          <w:i w:val="0"/>
          <w:sz w:val="20"/>
        </w:rPr>
        <w:t xml:space="preserve"> is already a perpetual-inventory capital stock that, depending on the country vintage, may include some intellectual-property products. CWON produced capital also incorporates R&amp;D in many countries following the 2008 SNA. Our intangible stock </w:t>
      </w:r>
      <m:oMath xmlns:mml="http://www.w3.org/1998/Math/MathML">
        <m:box>
          <m:e>
            <m:sSub>
              <m:e>
                <m:r>
                  <m:rPr>
                    <m:sty m:val="i"/>
                  </m:rPr>
                  <m:t>K</m:t>
                </m:r>
              </m:e>
              <m:sub>
                <m:box>
                  <m:e>
                    <m:r>
                      <m:rPr>
                        <m:sty m:val="i"/>
                      </m:rPr>
                      <m:t>I</m:t>
                    </m:r>
                  </m:e>
                </m:box>
              </m:sub>
            </m:sSub>
          </m:e>
        </m:box>
      </m:oMath>
      <w:r>
        <w:rPr>
          <w:rFonts w:ascii="Times New Roman" w:hAnsi="Times New Roman" w:eastAsia="MS Mincho"/>
          <w:b w:val="0"/>
          <w:i w:val="0"/>
          <w:sz w:val="20"/>
        </w:rPr>
        <w:t xml:space="preserve"> is built from WDI R&amp;D expenditure and therefore risks overlapping with assets already counted in </w:t>
      </w:r>
      <w:r>
        <w:rPr>
          <w:rFonts w:ascii="Times New Roman" w:hAnsi="Times New Roman" w:eastAsia="MS Mincho"/>
          <w:b w:val="0"/>
          <w:i/>
          <w:sz w:val="20"/>
        </w:rPr>
        <w:t>rnna</w:t>
      </w:r>
      <w:r>
        <w:rPr>
          <w:rFonts w:ascii="Times New Roman" w:hAnsi="Times New Roman" w:eastAsia="MS Mincho"/>
          <w:b w:val="0"/>
          <w:i w:val="0"/>
          <w:sz w:val="20"/>
        </w:rPr>
        <w:t xml:space="preserve"> or CWON. Because asset-level PWT detail is not public, we cannot net out the overlap exactly; M3 and M4 should be interpreted as a proxy for the produced-capital coverage gap between the PWT/CWON asset boundary and the broader intangible-capital literature — i.e. an upper-bound correction for intangible capital not already captured in the baseline — while M0 and M2 are unaffected.</w:t>
      </w:r>
    </w:p>
    <w:p>
      <w:pPr>
        <w:spacing w:after="120" w:line="360" w:lineRule="auto"/>
        <w:ind w:firstLine="480"/>
      </w:pPr>
      <w:r>
        <w:rPr>
          <w:rFonts w:ascii="Times New Roman" w:hAnsi="Times New Roman" w:eastAsia="MS Mincho"/>
          <w:b w:val="0"/>
          <w:i w:val="0"/>
          <w:sz w:val="20"/>
        </w:rPr>
        <w:t>The sample is 39 OECD and middle-income economies for which all series are available. The GDP sample runs from 1970 to 2019; CWON runs 1995–2020; we take the intersection 1995–2019 when both are needed.</w:t>
      </w:r>
    </w:p>
    <w:p>
      <w:pPr>
        <w:spacing w:before="360" w:after="120" w:line="360" w:lineRule="auto"/>
        <w:ind w:firstLine="0"/>
        <w:jc w:val="left"/>
      </w:pPr>
      <w:r>
        <w:rPr>
          <w:rFonts w:ascii="Times New Roman" w:hAnsi="Times New Roman" w:eastAsia="MS Mincho"/>
          <w:b/>
          <w:i w:val="0"/>
          <w:sz w:val="24"/>
        </w:rPr>
        <w:t>4.2 Models M0, M2, M4 and M_obs</w:t>
      </w:r>
    </w:p>
    <w:p>
      <w:pPr>
        <w:spacing w:after="120" w:line="360" w:lineRule="auto"/>
        <w:ind w:firstLine="480"/>
      </w:pPr>
      <w:r>
        <w:rPr>
          <w:rFonts w:ascii="Times New Roman" w:hAnsi="Times New Roman" w:eastAsia="MS Mincho"/>
          <w:b w:val="0"/>
          <w:i w:val="0"/>
          <w:sz w:val="20"/>
        </w:rPr>
        <w:t xml:space="preserve">The main text focuses on four specifications. M0 is the Solow baseline; M2 adds the time-varying gestation lag </w:t>
      </w:r>
      <m:oMath xmlns:mml="http://www.w3.org/1998/Math/MathML">
        <m:box>
          <m:e>
            <m:r>
              <m:rPr>
                <m:sty m:val="i"/>
              </m:rPr>
              <m:t>μ</m:t>
            </m:r>
            <m:r>
              <m:rPr>
                <m:sty m:val="p"/>
              </m:rPr>
              <m:t>(</m:t>
            </m:r>
            <m:r>
              <m:rPr>
                <m:sty m:val="i"/>
              </m:rPr>
              <m:t>t</m:t>
            </m:r>
            <m:r>
              <m:rPr>
                <m:sty m:val="p"/>
              </m:rPr>
              <m:t>)</m:t>
            </m:r>
            <m:r>
              <m:rPr>
                <m:sty m:val="p"/>
              </m:rPr>
              <m:t>=</m:t>
            </m:r>
            <m:sSub>
              <m:e>
                <m:r>
                  <m:rPr>
                    <m:sty m:val="i"/>
                  </m:rPr>
                  <m:t>μ</m:t>
                </m:r>
              </m:e>
              <m:sub>
                <m:r>
                  <m:rPr>
                    <m:sty m:val="p"/>
                  </m:rPr>
                  <m:t>0</m:t>
                </m:r>
              </m:sub>
            </m:sSub>
            <m:r>
              <m:rPr>
                <m:sty m:val="p"/>
              </m:rPr>
              <m:t>+</m:t>
            </m:r>
            <m:sSub>
              <m:e>
                <m:r>
                  <m:rPr>
                    <m:sty m:val="i"/>
                  </m:rPr>
                  <m:t>μ</m:t>
                </m:r>
              </m:e>
              <m:sub>
                <m:r>
                  <m:rPr>
                    <m:sty m:val="p"/>
                  </m:rPr>
                  <m:t>1</m:t>
                </m:r>
              </m:sub>
            </m:sSub>
            <m:r>
              <m:rPr>
                <m:sty m:val="i"/>
              </m:rPr>
              <m:t>·</m:t>
            </m:r>
          </m:e>
        </m:box>
      </m:oMath>
      <w:r>
        <w:rPr>
          <w:rFonts w:ascii="Times New Roman" w:hAnsi="Times New Roman" w:eastAsia="MS Mincho"/>
          <w:b w:val="0"/>
          <w:i w:val="0"/>
          <w:sz w:val="20"/>
        </w:rPr>
        <w:t>(t − t₀); M4 jointly identifies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xml:space="preserve">) against the CWON wealth account; and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is the observable parameter-free tempo proxy. M1 (constant lag) and M3 (intangibles only) are reported in the Supporting Information as intermediate benchmarks.</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M0</w:t>
      </w:r>
      <w:r>
        <w:rPr>
          <w:rFonts w:ascii="Times New Roman" w:hAnsi="Times New Roman" w:eastAsia="MS Mincho"/>
          <w:b w:val="0"/>
          <w:i w:val="0"/>
          <w:sz w:val="20"/>
        </w:rPr>
        <w:t xml:space="preserve">: Solow baseline, </w:t>
      </w:r>
      <m:oMath xmlns:mml="http://www.w3.org/1998/Math/MathML">
        <m:box>
          <m:e>
            <m:sSub>
              <m:e>
                <m:r>
                  <m:rPr>
                    <m:sty m:val="i"/>
                  </m:rPr>
                  <m:t>K</m:t>
                </m:r>
              </m:e>
              <m:sub>
                <m:box>
                  <m:e>
                    <m:r>
                      <m:rPr>
                        <m:sty m:val="i"/>
                      </m:rPr>
                      <m:t>t</m:t>
                    </m:r>
                    <m:r>
                      <m:rPr>
                        <m:sty m:val="i"/>
                      </m:rPr>
                      <m:t>a</m:t>
                    </m:r>
                    <m:r>
                      <m:rPr>
                        <m:sty m:val="i"/>
                      </m:rPr>
                      <m:t>n</m:t>
                    </m:r>
                    <m:r>
                      <m:rPr>
                        <m:sty m:val="i"/>
                      </m:rPr>
                      <m:t>g</m:t>
                    </m:r>
                  </m:e>
                </m:box>
              </m:sub>
            </m:sSub>
          </m:e>
        </m:box>
      </m:oMath>
      <w:r>
        <w:rPr>
          <w:rFonts w:ascii="Times New Roman" w:hAnsi="Times New Roman" w:eastAsia="MS Mincho"/>
          <w:b w:val="0"/>
          <w:i w:val="0"/>
          <w:sz w:val="20"/>
        </w:rPr>
        <w:t xml:space="preserve"> as M0 above, </w:t>
      </w:r>
      <m:oMath xmlns:mml="http://www.w3.org/1998/Math/MathML">
        <m:box>
          <m:e>
            <m:r>
              <m:rPr>
                <m:sty m:val="i"/>
              </m:rPr>
              <m:t>β</m:t>
            </m:r>
            <m:r>
              <m:rPr>
                <m:sty m:val="p"/>
              </m:rPr>
              <m:t>=</m:t>
            </m:r>
            <m:r>
              <m:rPr>
                <m:sty m:val="p"/>
              </m:rPr>
              <m:t>0</m:t>
            </m:r>
            <m:r>
              <m:rPr>
                <m:sty m:val="p"/>
              </m:rPr>
              <m:t>.</m:t>
            </m:r>
          </m:e>
        </m:box>
      </m:oMath>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M2</w:t>
      </w:r>
      <w:r>
        <w:rPr>
          <w:rFonts w:ascii="Times New Roman" w:hAnsi="Times New Roman" w:eastAsia="MS Mincho"/>
          <w:b w:val="0"/>
          <w:i w:val="0"/>
          <w:sz w:val="20"/>
        </w:rPr>
        <w:t xml:space="preserve">: Time-varying lag </w:t>
      </w:r>
      <m:oMath xmlns:mml="http://www.w3.org/1998/Math/MathML">
        <m:box>
          <m:e>
            <m:r>
              <m:rPr>
                <m:sty m:val="i"/>
              </m:rPr>
              <m:t>μ</m:t>
            </m:r>
            <m:r>
              <m:rPr>
                <m:sty m:val="p"/>
              </m:rPr>
              <m:t>(</m:t>
            </m:r>
            <m:r>
              <m:rPr>
                <m:sty m:val="i"/>
              </m:rPr>
              <m:t>t</m:t>
            </m:r>
            <m:r>
              <m:rPr>
                <m:sty m:val="p"/>
              </m:rPr>
              <m:t>)</m:t>
            </m:r>
            <m:r>
              <m:rPr>
                <m:sty m:val="p"/>
              </m:rPr>
              <m:t>=</m:t>
            </m:r>
            <m:sSub>
              <m:e>
                <m:r>
                  <m:rPr>
                    <m:sty m:val="i"/>
                  </m:rPr>
                  <m:t>μ</m:t>
                </m:r>
              </m:e>
              <m:sub>
                <m:r>
                  <m:rPr>
                    <m:sty m:val="p"/>
                  </m:rPr>
                  <m:t>0</m:t>
                </m:r>
              </m:sub>
            </m:sSub>
            <m:r>
              <m:rPr>
                <m:sty m:val="p"/>
              </m:rPr>
              <m:t>+</m:t>
            </m:r>
            <m:sSub>
              <m:e>
                <m:r>
                  <m:rPr>
                    <m:sty m:val="i"/>
                  </m:rPr>
                  <m:t>μ</m:t>
                </m:r>
              </m:e>
              <m:sub>
                <m:r>
                  <m:rPr>
                    <m:sty m:val="p"/>
                  </m:rPr>
                  <m:t>1</m:t>
                </m:r>
              </m:sub>
            </m:sSub>
            <m:r>
              <m:rPr>
                <m:sty m:val="i"/>
              </m:rPr>
              <m:t>·</m:t>
            </m:r>
          </m:e>
        </m:box>
      </m:oMath>
      <w:r>
        <w:rPr>
          <w:rFonts w:ascii="Times New Roman" w:hAnsi="Times New Roman" w:eastAsia="MS Mincho"/>
          <w:b w:val="0"/>
          <w:i w:val="0"/>
          <w:sz w:val="20"/>
        </w:rPr>
        <w:t>(t − t₀) from (M2).</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M4</w:t>
      </w:r>
      <w:r>
        <w:rPr>
          <w:rFonts w:ascii="Times New Roman" w:hAnsi="Times New Roman" w:eastAsia="MS Mincho"/>
          <w:b w:val="0"/>
          <w:i w:val="0"/>
          <w:sz w:val="20"/>
        </w:rPr>
        <w:t>: Joint identification (Sect. 3.2), minimising (2) over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simultaneously against CWON.</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M_obs</w:t>
      </w:r>
      <w:r>
        <w:rPr>
          <w:rFonts w:ascii="Times New Roman" w:hAnsi="Times New Roman" w:eastAsia="MS Mincho"/>
          <w:b w:val="0"/>
          <w:i w:val="0"/>
          <w:sz w:val="20"/>
        </w:rPr>
        <w:t xml:space="preserve">: Observable tempo, where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is constructed directly from OECD gross fixed capital formation (GFCF) by asset type. For each country-year, the share of investment in each asset category (dwellings, other buildings, transport equipment, ICT equipment, machinery, intellectual property products) is computed from OECD GFCF data, and </w:t>
      </w:r>
      <m:oMath xmlns:mml="http://www.w3.org/1998/Math/MathML">
        <m:box>
          <m:e>
            <m:sSub>
              <m:e>
                <m:r>
                  <m:rPr>
                    <m:sty m:val="i"/>
                  </m:rPr>
                  <m:t>μ</m:t>
                </m:r>
              </m:e>
              <m:sub>
                <m:box>
                  <m:e>
                    <m:r>
                      <m:rPr>
                        <m:sty m:val="i"/>
                      </m:rPr>
                      <m:t>o</m:t>
                    </m:r>
                    <m:r>
                      <m:rPr>
                        <m:sty m:val="i"/>
                      </m:rPr>
                      <m:t>b</m:t>
                    </m:r>
                    <m:r>
                      <m:rPr>
                        <m:sty m:val="i"/>
                      </m:rPr>
                      <m:t>s</m:t>
                    </m:r>
                  </m:e>
                </m:box>
              </m:sub>
            </m:sSub>
            <m:r>
              <m:rPr>
                <m:sty m:val="p"/>
              </m:rPr>
              <m:t>(</m:t>
            </m:r>
            <m:r>
              <m:rPr>
                <m:sty m:val="i"/>
              </m:rPr>
              <m:t>t</m:t>
            </m:r>
            <m:r>
              <m:rPr>
                <m:sty m:val="p"/>
              </m:rPr>
              <m:t>)</m:t>
            </m:r>
            <m:r>
              <m:rPr>
                <m:sty m:val="p"/>
              </m:rPr>
              <m:t>=</m:t>
            </m:r>
            <m:sSub>
              <m:e>
                <m:r>
                  <m:rPr>
                    <m:sty m:val="i"/>
                  </m:rPr>
                  <m:t>Σ</m:t>
                </m:r>
              </m:e>
              <m:sub>
                <m:box>
                  <m:e>
                    <m:r>
                      <m:rPr>
                        <m:sty m:val="i"/>
                      </m:rPr>
                      <m:t>a</m:t>
                    </m:r>
                  </m:e>
                </m:box>
              </m:sub>
            </m:sSub>
          </m:e>
        </m:box>
      </m:oMath>
      <w:r>
        <w:rPr>
          <w:rFonts w:ascii="Times New Roman" w:hAnsi="Times New Roman" w:eastAsia="MS Mincho"/>
          <w:b w:val="0"/>
          <w:i w:val="0"/>
          <w:sz w:val="20"/>
        </w:rPr>
        <w:t xml:space="preserve"> s_a(t) · </w:t>
      </w:r>
      <m:oMath xmlns:mml="http://www.w3.org/1998/Math/MathML">
        <m:box>
          <m:e>
            <m:sSub>
              <m:e>
                <m:r>
                  <m:rPr>
                    <m:sty m:val="i"/>
                  </m:rPr>
                  <m:t>μ</m:t>
                </m:r>
              </m:e>
              <m:sub>
                <m:box>
                  <m:e>
                    <m:r>
                      <m:rPr>
                        <m:sty m:val="i"/>
                      </m:rPr>
                      <m:t>a</m:t>
                    </m:r>
                  </m:e>
                </m:box>
              </m:sub>
            </m:sSub>
          </m:e>
        </m:box>
      </m:oMath>
      <w:r>
        <w:rPr>
          <w:rFonts w:ascii="Times New Roman" w:hAnsi="Times New Roman" w:eastAsia="MS Mincho"/>
          <w:b w:val="0"/>
          <w:i w:val="0"/>
          <w:sz w:val="20"/>
        </w:rPr>
        <w:t xml:space="preserve">, where s_a(t) is the share of asset </w:t>
      </w:r>
      <w:r>
        <w:rPr>
          <w:rFonts w:ascii="Times New Roman" w:hAnsi="Times New Roman" w:eastAsia="MS Mincho"/>
          <w:b w:val="0"/>
          <w:i/>
          <w:sz w:val="20"/>
        </w:rPr>
        <w:t>a</w:t>
      </w:r>
      <w:r>
        <w:rPr>
          <w:rFonts w:ascii="Times New Roman" w:hAnsi="Times New Roman" w:eastAsia="MS Mincho"/>
          <w:b w:val="0"/>
          <w:i w:val="0"/>
          <w:sz w:val="20"/>
        </w:rPr>
        <w:t xml:space="preserve"> in total GFCF and </w:t>
      </w:r>
      <m:oMath xmlns:mml="http://www.w3.org/1998/Math/MathML">
        <m:box>
          <m:e>
            <m:sSub>
              <m:e>
                <m:r>
                  <m:rPr>
                    <m:sty m:val="i"/>
                  </m:rPr>
                  <m:t>μ</m:t>
                </m:r>
              </m:e>
              <m:sub>
                <m:box>
                  <m:e>
                    <m:r>
                      <m:rPr>
                        <m:sty m:val="i"/>
                      </m:rPr>
                      <m:t>a</m:t>
                    </m:r>
                  </m:e>
                </m:box>
              </m:sub>
            </m:sSub>
          </m:e>
        </m:box>
      </m:oMath>
      <w:r>
        <w:rPr>
          <w:rFonts w:ascii="Times New Roman" w:hAnsi="Times New Roman" w:eastAsia="MS Mincho"/>
          <w:b w:val="0"/>
          <w:i w:val="0"/>
          <w:sz w:val="20"/>
        </w:rPr>
        <w:t xml:space="preserve"> is the literature-based gestation lag for asset </w:t>
      </w:r>
      <w:r>
        <w:rPr>
          <w:rFonts w:ascii="Times New Roman" w:hAnsi="Times New Roman" w:eastAsia="MS Mincho"/>
          <w:b w:val="0"/>
          <w:i/>
          <w:sz w:val="20"/>
        </w:rPr>
        <w:t>a</w:t>
      </w:r>
      <w:r>
        <w:rPr>
          <w:rFonts w:ascii="Times New Roman" w:hAnsi="Times New Roman" w:eastAsia="MS Mincho"/>
          <w:b w:val="0"/>
          <w:i w:val="0"/>
          <w:sz w:val="20"/>
        </w:rPr>
        <w:t xml:space="preserve"> (dwellings and other buildings: 2.0 years; transport equipment: 0.5 years; ICT equipment: 0.3 years; machinery: 0.8 years; intellectual property products: 3.0 years).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has </w:t>
      </w:r>
      <w:r>
        <w:rPr>
          <w:rFonts w:ascii="Times New Roman" w:hAnsi="Times New Roman" w:eastAsia="MS Mincho"/>
          <w:b/>
          <w:i w:val="0"/>
          <w:sz w:val="20"/>
        </w:rPr>
        <w:t>zero free parameters</w:t>
      </w:r>
      <w:r>
        <w:rPr>
          <w:rFonts w:ascii="Times New Roman" w:hAnsi="Times New Roman" w:eastAsia="MS Mincho"/>
          <w:b w:val="0"/>
          <w:i w:val="0"/>
          <w:sz w:val="20"/>
        </w:rPr>
        <w:t>. A sensitivity analysis that scales these literature lags by 0.5–2.0 yields a median out-of-sample MAPE between 3.86 % and 4.39 % (Supplementary Table 2), indicating that the results are not sensitive to the precise literature value chosen for each asset.</w:t>
      </w:r>
    </w:p>
    <w:p>
      <w:pPr>
        <w:spacing w:after="120" w:line="360" w:lineRule="auto"/>
        <w:ind w:firstLine="480"/>
      </w:pPr>
      <w:r>
        <w:rPr>
          <w:rFonts w:ascii="Times New Roman" w:hAnsi="Times New Roman" w:eastAsia="MS Mincho"/>
          <w:b w:val="0"/>
          <w:i w:val="0"/>
          <w:sz w:val="20"/>
        </w:rPr>
        <w:t xml:space="preserve">OECD asset-composition data are available for 35 of the 39 countries in the main panel. All K-level, TFP-shift, and implied labour-share results that rely on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are therefore reported for this 35-country subsample; the model-comparison results in Sects. 5.1–5.3 continue to use the full 39-country panel.</w:t>
      </w:r>
    </w:p>
    <w:p>
      <w:pPr>
        <w:spacing w:after="120" w:line="360" w:lineRule="auto"/>
        <w:ind w:firstLine="480"/>
      </w:pPr>
      <w:r>
        <w:rPr>
          <w:rFonts w:ascii="Times New Roman" w:hAnsi="Times New Roman" w:eastAsia="MS Mincho"/>
          <w:b w:val="0"/>
          <w:i w:val="0"/>
          <w:sz w:val="20"/>
        </w:rPr>
        <w:t>For each model we report two within-sample test statistics and one out-of-sample test statistic:</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Test A (level MAPE)</w:t>
      </w:r>
      <w:r>
        <w:rPr>
          <w:rFonts w:ascii="Times New Roman" w:hAnsi="Times New Roman" w:eastAsia="MS Mincho"/>
          <w:b w:val="0"/>
          <w:i w:val="0"/>
          <w:sz w:val="20"/>
        </w:rPr>
        <w:t>: mean absolute percentage error of fitted log-GDP against observed log-GDP, decomposing away decade-mean TFP. Lower is better.</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Test B (growth RMSE)</w:t>
      </w:r>
      <w:r>
        <w:rPr>
          <w:rFonts w:ascii="Times New Roman" w:hAnsi="Times New Roman" w:eastAsia="MS Mincho"/>
          <w:b w:val="0"/>
          <w:i w:val="0"/>
          <w:sz w:val="20"/>
        </w:rPr>
        <w:t>: root-mean-squared error of 1-year log-GDP differences, in percentage points. Lower is better.</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Out-of-sample MAPE</w:t>
      </w:r>
      <w:r>
        <w:rPr>
          <w:rFonts w:ascii="Times New Roman" w:hAnsi="Times New Roman" w:eastAsia="MS Mincho"/>
          <w:b w:val="0"/>
          <w:i w:val="0"/>
          <w:sz w:val="20"/>
        </w:rPr>
        <w:t>: parameters fit on 1970–2014, level forecasts produced for 2015–2019 with a training-window TFP projection. Lower is better.</w:t>
      </w:r>
    </w:p>
    <w:p>
      <w:pPr>
        <w:spacing w:before="360" w:after="120" w:line="360" w:lineRule="auto"/>
        <w:ind w:firstLine="0"/>
        <w:jc w:val="left"/>
      </w:pPr>
      <w:r>
        <w:rPr>
          <w:rFonts w:ascii="Times New Roman" w:hAnsi="Times New Roman" w:eastAsia="MS Mincho"/>
          <w:b/>
          <w:i w:val="0"/>
          <w:sz w:val="24"/>
        </w:rPr>
        <w:t>4.3 Estimation protocol and grid search</w:t>
      </w:r>
    </w:p>
    <w:p>
      <w:pPr>
        <w:spacing w:after="120" w:line="360" w:lineRule="auto"/>
        <w:ind w:firstLine="480"/>
      </w:pPr>
      <w:r>
        <w:rPr>
          <w:rFonts w:ascii="Times New Roman" w:hAnsi="Times New Roman" w:eastAsia="MS Mincho"/>
          <w:b w:val="0"/>
          <w:i w:val="0"/>
          <w:sz w:val="20"/>
        </w:rPr>
        <w:t xml:space="preserve">All five models are estimated by grid search, not gradient optimisation, for three reasons. First, the objective function (2) has known non-convexities induced by the geometric lag kernel, especially when </w:t>
      </w:r>
      <m:oMath xmlns:mml="http://www.w3.org/1998/Math/MathML">
        <m:box>
          <m:e>
            <m:r>
              <m:rPr>
                <m:sty m:val="i"/>
              </m:rPr>
              <m:t>μ</m:t>
            </m:r>
          </m:e>
        </m:box>
      </m:oMath>
      <w:r>
        <w:rPr>
          <w:rFonts w:ascii="Times New Roman" w:hAnsi="Times New Roman" w:eastAsia="MS Mincho"/>
          <w:b w:val="0"/>
          <w:i w:val="0"/>
          <w:sz w:val="20"/>
        </w:rPr>
        <w:t xml:space="preserve"> is small and the kernel is near-concentrated. Second, grid search produces an explicit objective surface for each (country, model) pair, which we use in the sensitivity checks below. Third, the 39-country × 5-model bootstrap would be intractable with a Nelder-Mead or BFGS inner loop for many countries. The </w:t>
      </w:r>
      <m:oMath xmlns:mml="http://www.w3.org/1998/Math/MathML">
        <m:box>
          <m:e>
            <m:r>
              <m:rPr>
                <m:sty m:val="i"/>
              </m:rPr>
              <m:t>μ</m:t>
            </m:r>
          </m:e>
        </m:box>
      </m:oMath>
      <w:r>
        <w:rPr>
          <w:rFonts w:ascii="Times New Roman" w:hAnsi="Times New Roman" w:eastAsia="MS Mincho"/>
          <w:b w:val="0"/>
          <w:i w:val="0"/>
          <w:sz w:val="20"/>
        </w:rPr>
        <w:t xml:space="preserve"> grid is 25 equally spaced points from 0.01 to 6.0 years; the </w:t>
      </w:r>
      <m:oMath xmlns:mml="http://www.w3.org/1998/Math/MathML">
        <m:box>
          <m:e>
            <m:r>
              <m:rPr>
                <m:sty m:val="i"/>
              </m:rPr>
              <m:t>β</m:t>
            </m:r>
          </m:e>
        </m:box>
      </m:oMath>
      <w:r>
        <w:rPr>
          <w:rFonts w:ascii="Times New Roman" w:hAnsi="Times New Roman" w:eastAsia="MS Mincho"/>
          <w:b w:val="0"/>
          <w:i w:val="0"/>
          <w:sz w:val="20"/>
        </w:rPr>
        <w:t xml:space="preserve"> grid is 18 equally spaced points from 0.00 to 0.34; and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is searched on 11 equally spaced points from −0.08 to +0.12 per year. These bounds were selected to bracket all plausible parameter values reported in prior cross-country studies (Kaboski, 2005; Corrado et al., 2016). In the constant-lag (M1) grid search, 25 of the 39 countries hit a boundary for </w:t>
      </w:r>
      <m:oMath xmlns:mml="http://www.w3.org/1998/Math/MathML">
        <m:box>
          <m:e>
            <m:r>
              <m:rPr>
                <m:sty m:val="i"/>
              </m:rPr>
              <m:t>μ</m:t>
            </m:r>
          </m:e>
        </m:box>
      </m:oMath>
      <w:r>
        <w:rPr>
          <w:rFonts w:ascii="Times New Roman" w:hAnsi="Times New Roman" w:eastAsia="MS Mincho"/>
          <w:b w:val="0"/>
          <w:i w:val="0"/>
          <w:sz w:val="20"/>
        </w:rPr>
        <w:t xml:space="preserve">: 18 at the lower bound (0.01 years, effectively zero lag) and 7 at the upper bound (6.0 years). The remaining 14 countries have interior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values; we report the conditional out-of-sample evaluation for this interior-solution subsample in Supplementary Section S.14. The anchor year t₀ is 1970 for all countries, so that </w:t>
      </w:r>
      <m:oMath xmlns:mml="http://www.w3.org/1998/Math/MathML">
        <m:box>
          <m:e>
            <m:sSub>
              <m:e>
                <m:r>
                  <m:rPr>
                    <m:sty m:val="i"/>
                  </m:rPr>
                  <m:t>μ</m:t>
                </m:r>
              </m:e>
              <m:sub>
                <m:r>
                  <m:rPr>
                    <m:sty m:val="p"/>
                  </m:rPr>
                  <m:t>0</m:t>
                </m:r>
              </m:sub>
            </m:sSub>
          </m:e>
        </m:box>
      </m:oMath>
      <w:r>
        <w:rPr>
          <w:rFonts w:ascii="Times New Roman" w:hAnsi="Times New Roman" w:eastAsia="MS Mincho"/>
          <w:b w:val="0"/>
          <w:i w:val="0"/>
          <w:sz w:val="20"/>
        </w:rPr>
        <w:t xml:space="preserve"> is the average lag in the base year; this choice has no effect on fit but makes </w:t>
      </w:r>
      <m:oMath xmlns:mml="http://www.w3.org/1998/Math/MathML">
        <m:box>
          <m:e>
            <m:sSub>
              <m:e>
                <m:r>
                  <m:rPr>
                    <m:sty m:val="i"/>
                  </m:rPr>
                  <m:t>μ</m:t>
                </m:r>
              </m:e>
              <m:sub>
                <m:r>
                  <m:rPr>
                    <m:sty m:val="p"/>
                  </m:rPr>
                  <m:t>0</m:t>
                </m:r>
              </m:sub>
            </m:sSub>
          </m:e>
        </m:box>
      </m:oMath>
      <w:r>
        <w:rPr>
          <w:rFonts w:ascii="Times New Roman" w:hAnsi="Times New Roman" w:eastAsia="MS Mincho"/>
          <w:b w:val="0"/>
          <w:i w:val="0"/>
          <w:sz w:val="20"/>
        </w:rPr>
        <w:t xml:space="preserve"> and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interpretable.</w:t>
      </w:r>
    </w:p>
    <w:p>
      <w:pPr>
        <w:spacing w:before="360" w:after="120" w:line="360" w:lineRule="auto"/>
        <w:ind w:firstLine="0"/>
        <w:jc w:val="left"/>
      </w:pPr>
      <w:r>
        <w:rPr>
          <w:rFonts w:ascii="Times New Roman" w:hAnsi="Times New Roman" w:eastAsia="MS Mincho"/>
          <w:b/>
          <w:i w:val="0"/>
          <w:sz w:val="24"/>
        </w:rPr>
        <w:t>4.4 Bootstrap confidence intervals</w:t>
      </w:r>
    </w:p>
    <w:p>
      <w:pPr>
        <w:spacing w:after="120" w:line="360" w:lineRule="auto"/>
        <w:ind w:firstLine="480"/>
      </w:pPr>
      <w:r>
        <w:rPr>
          <w:rFonts w:ascii="Times New Roman" w:hAnsi="Times New Roman" w:eastAsia="MS Mincho"/>
          <w:b w:val="0"/>
          <w:i w:val="0"/>
          <w:sz w:val="20"/>
        </w:rPr>
        <w:t xml:space="preserve">For every country we residual-bootstrap the growth-rate residuals of M4 one hundred times (block size 1, since the autocorrelation structure of PWT annual-growth residuals is weak after detrending; block size 3 gives nearly identical 95 % intervals on a pilot of five countries). Each bootstrap replicate proceeds as follows: (i) compute fitted growth rates from M4 and the corresponding residuals; (ii) resample the residuals and reconstruct a synthetic log-GDP series; (iii) back out a synthetic investment series using the PWT investment-share </w:t>
      </w:r>
      <m:oMath xmlns:mml="http://www.w3.org/1998/Math/MathML">
        <m:box>
          <m:e>
            <m:r>
              <m:rPr>
                <m:sty m:val="i"/>
              </m:rPr>
              <m:t>c</m:t>
            </m:r>
            <m:r>
              <m:rPr>
                <m:sty m:val="i"/>
              </m:rPr>
              <m:t>s</m:t>
            </m:r>
            <m:sSub>
              <m:e>
                <m:r>
                  <m:rPr>
                    <m:sty m:val="i"/>
                  </m:rPr>
                  <m:t>h</m:t>
                </m:r>
              </m:e>
              <m:sub>
                <m:box>
                  <m:e>
                    <m:r>
                      <m:rPr>
                        <m:sty m:val="i"/>
                      </m:rPr>
                      <m:t>i</m:t>
                    </m:r>
                  </m:e>
                </m:box>
              </m:sub>
            </m:sSub>
          </m:e>
        </m:box>
      </m:oMath>
      <w:r>
        <w:rPr>
          <w:rFonts w:ascii="Times New Roman" w:hAnsi="Times New Roman" w:eastAsia="MS Mincho"/>
          <w:b w:val="0"/>
          <w:i w:val="0"/>
          <w:sz w:val="20"/>
        </w:rPr>
        <w:t xml:space="preserve"> and a synthetic R&amp;D intensity using WDI shares; (iv) rebuild </w:t>
      </w:r>
      <m:oMath xmlns:mml="http://www.w3.org/1998/Math/MathML">
        <m:box>
          <m:e>
            <m:sSub>
              <m:e>
                <m:r>
                  <m:rPr>
                    <m:sty m:val="i"/>
                  </m:rPr>
                  <m:t>K</m:t>
                </m:r>
              </m:e>
              <m:sub>
                <m:box>
                  <m:e>
                    <m:r>
                      <m:rPr>
                        <m:sty m:val="i"/>
                      </m:rPr>
                      <m:t>t</m:t>
                    </m:r>
                    <m:r>
                      <m:rPr>
                        <m:sty m:val="i"/>
                      </m:rPr>
                      <m:t>a</m:t>
                    </m:r>
                    <m:r>
                      <m:rPr>
                        <m:sty m:val="i"/>
                      </m:rPr>
                      <m:t>n</m:t>
                    </m:r>
                    <m:r>
                      <m:rPr>
                        <m:sty m:val="i"/>
                      </m:rPr>
                      <m:t>g</m:t>
                    </m:r>
                  </m:e>
                </m:box>
              </m:sub>
            </m:sSub>
          </m:e>
        </m:box>
      </m:oMath>
      <w:r>
        <w:rPr>
          <w:rFonts w:ascii="Times New Roman" w:hAnsi="Times New Roman" w:eastAsia="MS Mincho"/>
          <w:b w:val="0"/>
          <w:i w:val="0"/>
          <w:sz w:val="20"/>
        </w:rPr>
        <w:t xml:space="preserve"> and </w:t>
      </w:r>
      <m:oMath xmlns:mml="http://www.w3.org/1998/Math/MathML">
        <m:box>
          <m:e>
            <m:sSub>
              <m:e>
                <m:r>
                  <m:rPr>
                    <m:sty m:val="i"/>
                  </m:rPr>
                  <m:t>K</m:t>
                </m:r>
              </m:e>
              <m:sub>
                <m:box>
                  <m:e>
                    <m:r>
                      <m:rPr>
                        <m:sty m:val="i"/>
                      </m:rPr>
                      <m:t>I</m:t>
                    </m:r>
                  </m:e>
                </m:box>
              </m:sub>
            </m:sSub>
          </m:e>
        </m:box>
      </m:oMath>
      <w:r>
        <w:rPr>
          <w:rFonts w:ascii="Times New Roman" w:hAnsi="Times New Roman" w:eastAsia="MS Mincho"/>
          <w:b w:val="0"/>
          <w:i w:val="0"/>
          <w:sz w:val="20"/>
        </w:rPr>
        <w:t>; (v) re-run the joint-identification grid, storing (</w:t>
      </w:r>
      <m:oMath xmlns:mml="http://www.w3.org/1998/Math/MathML">
        <m:box>
          <m:e>
            <m:sSub>
              <m:e>
                <m:r>
                  <m:rPr>
                    <m:sty m:val="i"/>
                  </m:rPr>
                  <m:t>μ</m:t>
                </m:r>
              </m:e>
              <m:sub>
                <m:box>
                  <m:e>
                    <m:r>
                      <m:rPr>
                        <m:sty m:val="i"/>
                      </m:rPr>
                      <m:t>b</m:t>
                    </m:r>
                  </m:e>
                </m:box>
              </m:sub>
            </m:sSub>
          </m:e>
        </m:box>
      </m:oMath>
      <w:r>
        <w:rPr>
          <w:rFonts w:ascii="Times New Roman" w:hAnsi="Times New Roman" w:eastAsia="MS Mincho"/>
          <w:b w:val="0"/>
          <w:i w:val="0"/>
          <w:sz w:val="20"/>
        </w:rPr>
        <w:t xml:space="preserve">, </w:t>
      </w:r>
      <m:oMath xmlns:mml="http://www.w3.org/1998/Math/MathML">
        <m:box>
          <m:e>
            <m:sSub>
              <m:e>
                <m:r>
                  <m:rPr>
                    <m:sty m:val="i"/>
                  </m:rPr>
                  <m:t>β</m:t>
                </m:r>
              </m:e>
              <m:sub>
                <m:box>
                  <m:e>
                    <m:r>
                      <m:rPr>
                        <m:sty m:val="i"/>
                      </m:rPr>
                      <m:t>b</m:t>
                    </m:r>
                  </m:e>
                </m:box>
              </m:sub>
            </m:sSub>
          </m:e>
        </m:box>
      </m:oMath>
      <w:r>
        <w:rPr>
          <w:rFonts w:ascii="Times New Roman" w:hAnsi="Times New Roman" w:eastAsia="MS Mincho"/>
          <w:b w:val="0"/>
          <w:i w:val="0"/>
          <w:sz w:val="20"/>
        </w:rPr>
        <w:t xml:space="preserve">). We report 95 % percentile intervals in the bootstrap output and per-country medians in the supplementary JSON. Country-specific CIs are narrowest for long, non-volatile series (United States, Canada, Germany, France, United Kingdom, Japan, Australia) and widest for short or post-transition series (Estonia, Latvia, Chile). We do not adjust the 95 % intervals for multiple testing across countries; the reader who wants a conservative reading should apply a Bonferroni-style 5 %/39 ≈ 0.13 % threshold. At the conventional 5 % level, the 95 % bootstrap interval on </w:t>
      </w:r>
      <m:oMath xmlns:mml="http://www.w3.org/1998/Math/MathML">
        <m:box>
          <m:e>
            <m:r>
              <m:rPr>
                <m:sty m:val="i"/>
              </m:rPr>
              <m:t>μ</m:t>
            </m:r>
          </m:e>
        </m:box>
      </m:oMath>
      <w:r>
        <w:rPr>
          <w:rFonts w:ascii="Times New Roman" w:hAnsi="Times New Roman" w:eastAsia="MS Mincho"/>
          <w:b w:val="0"/>
          <w:i w:val="0"/>
          <w:sz w:val="20"/>
        </w:rPr>
        <w:t xml:space="preserve"> excludes zero for 39 of 39 countries and the interval on </w:t>
      </w:r>
      <m:oMath xmlns:mml="http://www.w3.org/1998/Math/MathML">
        <m:box>
          <m:e>
            <m:r>
              <m:rPr>
                <m:sty m:val="i"/>
              </m:rPr>
              <m:t>β</m:t>
            </m:r>
          </m:e>
        </m:box>
      </m:oMath>
      <w:r>
        <w:rPr>
          <w:rFonts w:ascii="Times New Roman" w:hAnsi="Times New Roman" w:eastAsia="MS Mincho"/>
          <w:b w:val="0"/>
          <w:i w:val="0"/>
          <w:sz w:val="20"/>
        </w:rPr>
        <w:t xml:space="preserve"> excludes zero for 7 countries; such a Bonferroni correction would reduce both counts.</w:t>
      </w:r>
    </w:p>
    <w:p>
      <w:pPr>
        <w:spacing w:before="360" w:after="120" w:line="360" w:lineRule="auto"/>
        <w:ind w:firstLine="0"/>
        <w:jc w:val="left"/>
      </w:pPr>
      <w:r>
        <w:rPr>
          <w:rFonts w:ascii="Times New Roman" w:hAnsi="Times New Roman" w:eastAsia="MS Mincho"/>
          <w:b/>
          <w:i w:val="0"/>
          <w:sz w:val="24"/>
        </w:rPr>
        <w:t>5 Results</w:t>
      </w:r>
    </w:p>
    <w:p>
      <w:pPr>
        <w:spacing w:before="360" w:after="120" w:line="360" w:lineRule="auto"/>
        <w:ind w:firstLine="0"/>
        <w:jc w:val="left"/>
      </w:pPr>
      <w:r>
        <w:rPr>
          <w:rFonts w:ascii="Times New Roman" w:hAnsi="Times New Roman" w:eastAsia="MS Mincho"/>
          <w:b/>
          <w:i w:val="0"/>
          <w:sz w:val="24"/>
        </w:rPr>
        <w:t>5.1 In-sample parameter distributions and fit</w:t>
      </w:r>
    </w:p>
    <w:p>
      <w:pPr>
        <w:spacing w:after="120" w:line="360" w:lineRule="auto"/>
        <w:ind w:firstLine="480"/>
      </w:pPr>
      <w:r>
        <w:rPr>
          <w:rFonts w:ascii="Times New Roman" w:hAnsi="Times New Roman" w:eastAsia="MS Mincho"/>
          <w:b w:val="0"/>
          <w:i w:val="0"/>
          <w:sz w:val="20"/>
        </w:rPr>
        <w:t xml:space="preserve">Table 1 summarises the five models. Three facts deserve particular emphasis. First, the median in-sample growth-rate RMSE hardly moves across M0–M4 (3.07–3.10 pp). This is what standard Solow-accounting practitioners have found repeatedly when they experimented with alternative capital constructions (Jorgenson and Griliches, 1967; Hulten, 1992), and it is one reason why the profession has settled on M0 as the canonical baseline: within-sample growth-rate fit does not discipline </w:t>
      </w:r>
      <m:oMath xmlns:mml="http://www.w3.org/1998/Math/MathML">
        <m:box>
          <m:e>
            <m:r>
              <m:rPr>
                <m:sty m:val="i"/>
              </m:rPr>
              <m:t>μ</m:t>
            </m:r>
          </m:e>
        </m:box>
      </m:oMath>
      <w:r>
        <w:rPr>
          <w:rFonts w:ascii="Times New Roman" w:hAnsi="Times New Roman" w:eastAsia="MS Mincho"/>
          <w:b w:val="0"/>
          <w:i w:val="0"/>
          <w:sz w:val="20"/>
        </w:rPr>
        <w:t xml:space="preserve"> at all. Second, the median level MAPE under M0 is 4.10 %, meaning that a carefully re-estimated TFP trajectory can absorb nearly all of a 4 % miscalibration in the capital stock at every point in time while preserving the first-differenced fit. This is a clear illustration of Griliches's (1996) warning that "TFP is the measure of our ignorance": any capital mis-specification that varies on decade-scale time-frequencies will be silently reabsorbed into decade-scale TFP, and then re-interpreted as innovation. Third, and central to our method, the distribution of estimated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across the 39 countries is highly non-degenerate. The interquartile range under M1 runs from 0.01 years to 2.13 years, and the tempo drift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under M2 has an IQR that includes both substantially negative and substantially positive values. The universal-</w:t>
      </w:r>
      <m:oMath xmlns:mml="http://www.w3.org/1998/Math/MathML">
        <m:box>
          <m:e>
            <m:r>
              <m:rPr>
                <m:sty m:val="i"/>
              </m:rPr>
              <m:t>μ</m:t>
            </m:r>
          </m:e>
        </m:box>
      </m:oMath>
      <w:r>
        <w:rPr>
          <w:rFonts w:ascii="Times New Roman" w:hAnsi="Times New Roman" w:eastAsia="MS Mincho"/>
          <w:b w:val="0"/>
          <w:i w:val="0"/>
          <w:sz w:val="20"/>
        </w:rPr>
        <w:t xml:space="preserve"> assumption implicit in M0 is therefore not merely statistically violated — it is violated in both directions across the sample, which implies that any single-parameter global correction (including the 5-year or 10-year fixed lags popular in business-cycle calibration) will be biased in roughly half of the sample. The median country has an M1 constant lag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 0.26 years and an M2 tempo drift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close to zero on average but with wide dispersion across countries (IQR roughly [−0.08, +0.12]). Median intangible share </w:t>
      </w:r>
      <m:oMath xmlns:mml="http://www.w3.org/1998/Math/MathML">
        <m:box>
          <m:e>
            <m:r>
              <m:rPr>
                <m:sty m:val="i"/>
              </m:rPr>
              <m:t>β</m:t>
            </m:r>
          </m:e>
        </m:box>
      </m:oMath>
      <w:r>
        <w:rPr>
          <w:rFonts w:ascii="Times New Roman" w:hAnsi="Times New Roman" w:eastAsia="MS Mincho"/>
          <w:b w:val="0"/>
          <w:i w:val="0"/>
          <w:sz w:val="20"/>
        </w:rPr>
        <w:t xml:space="preserve"> under M3 is 0.00 for production-only fitting and 0.04 under joint identification with CWON (M4); the corresponding means are 0.08 and 0.10, reflecting a right-skewed distribution. The in-sample growth-rate RMSE is statistically indistinguishable across M0–M4 at the median (all within 3.07–3.10 pp), confirming that the production function is close to flat in </w:t>
      </w:r>
      <m:oMath xmlns:mml="http://www.w3.org/1998/Math/MathML">
        <m:box>
          <m:e>
            <m:r>
              <m:rPr>
                <m:sty m:val="i"/>
              </m:rPr>
              <m:t>μ</m:t>
            </m:r>
          </m:e>
        </m:box>
      </m:oMath>
      <w:r>
        <w:rPr>
          <w:rFonts w:ascii="Times New Roman" w:hAnsi="Times New Roman" w:eastAsia="MS Mincho"/>
          <w:b w:val="0"/>
          <w:i w:val="0"/>
          <w:sz w:val="20"/>
        </w:rPr>
        <w:t xml:space="preserve"> when evaluated only on in-sample growth-rate residuals, as Koeva (2000) also found. In-sample level MAPE improves monotonically from M0 (4.10 %) to M4 (4.06 %). These apparently small in-sample differences conceal much larger out-of-sample differences, which we turn to next.</w:t>
      </w:r>
    </w:p>
    <w:p>
      <w:pPr>
        <w:spacing w:before="360" w:after="120"/>
      </w:pPr>
      <w:r>
        <w:rPr>
          <w:rFonts w:ascii="Times New Roman" w:hAnsi="Times New Roman" w:eastAsia="MS Mincho"/>
          <w:b/>
          <w:i w:val="0"/>
          <w:sz w:val="20"/>
        </w:rPr>
        <w:t>Table 1.</w:t>
      </w:r>
      <w:r>
        <w:rPr>
          <w:rFonts w:ascii="Times New Roman" w:hAnsi="Times New Roman" w:eastAsia="MS Mincho"/>
          <w:b w:val="0"/>
          <w:i w:val="0"/>
          <w:sz w:val="20"/>
        </w:rPr>
        <w:t xml:space="preserve">  M0–M4: in-sample and out-of-sample performance across 39 countries. Medians across countries; IQR in brackets.</w:t>
      </w:r>
    </w:p>
    <w:tbl>
      <w:tblPr>
        <w:tblW w:type="auto" w:w="0"/>
        <w:tblStyle w:val="TableNormal"/>
        <w:tblBorders>
          <w:top w:val="single" w:sz="4" w:space="0" w:color="000000"/>
          <w:bottom w:val="single" w:sz="4" w:space="0" w:color="000000"/>
          <w:insideH w:val="single" w:sz="4" w:space="0" w:color="000000"/>
        </w:tblBorders>
      </w:tblPr>
      <w:tblGrid>
        <w:gridCol w:w="1568"/>
        <w:gridCol w:w="1568"/>
        <w:gridCol w:w="1568"/>
        <w:gridCol w:w="1568"/>
        <w:gridCol w:w="1568"/>
        <w:gridCol w:w="1568"/>
      </w:tblGrid>
      <w:tr>
        <w:trPr>
          <w:trHeight w:val="500" w:hRule="atLeast"/>
        </w:trPr>
        <w:tc>
          <w:tcPr>
            <w:tcW w:type="dxa" w:w="1568"/>
            <w:tcBorders>
              <w:top w:val="single" w:sz="4" w:space="0" w:color="000000"/>
              <w:bottom w:val="single" w:sz="4" w:space="0" w:color="000000"/>
            </w:tcBorders>
          </w:tcPr>
          <w:p>
            <w:r/>
            <w:r>
              <w:rPr>
                <w:rFonts w:ascii="Times New Roman" w:hAnsi="Times New Roman" w:eastAsia="MS Mincho"/>
                <w:b/>
                <w:i w:val="0"/>
                <w:sz w:val="20"/>
              </w:rPr>
              <w:t>Model</w:t>
            </w:r>
          </w:p>
        </w:tc>
        <w:tc>
          <w:tcPr>
            <w:tcW w:type="dxa" w:w="1568"/>
            <w:tcBorders>
              <w:top w:val="single" w:sz="4" w:space="0" w:color="000000"/>
              <w:bottom w:val="single" w:sz="4" w:space="0" w:color="000000"/>
            </w:tcBorders>
          </w:tcPr>
          <w:p>
            <w:r/>
            <w:r>
              <w:rPr>
                <w:rFonts w:ascii="Times New Roman" w:hAnsi="Times New Roman" w:eastAsia="MS Mincho"/>
                <w:b/>
                <w:i w:val="0"/>
                <w:sz w:val="20"/>
              </w:rPr>
              <w:t>Description</w:t>
            </w:r>
          </w:p>
        </w:tc>
        <w:tc>
          <w:tcPr>
            <w:tcW w:type="dxa" w:w="1568"/>
            <w:tcBorders>
              <w:top w:val="single" w:sz="4" w:space="0" w:color="000000"/>
              <w:bottom w:val="single" w:sz="4" w:space="0" w:color="000000"/>
            </w:tcBorders>
          </w:tcPr>
          <w:p>
            <w:r/>
            <w:r>
              <w:rPr>
                <w:rFonts w:ascii="Times New Roman" w:hAnsi="Times New Roman" w:eastAsia="MS Mincho"/>
                <w:b/>
                <w:i w:val="0"/>
                <w:sz w:val="20"/>
              </w:rPr>
              <w:t>Growth RMSE median (pp)</w:t>
            </w:r>
          </w:p>
        </w:tc>
        <w:tc>
          <w:tcPr>
            <w:tcW w:type="dxa" w:w="1568"/>
            <w:tcBorders>
              <w:top w:val="single" w:sz="4" w:space="0" w:color="000000"/>
              <w:bottom w:val="single" w:sz="4" w:space="0" w:color="000000"/>
            </w:tcBorders>
          </w:tcPr>
          <w:p>
            <w:r/>
            <w:r>
              <w:rPr>
                <w:rFonts w:ascii="Times New Roman" w:hAnsi="Times New Roman" w:eastAsia="MS Mincho"/>
                <w:b/>
                <w:i w:val="0"/>
                <w:sz w:val="20"/>
              </w:rPr>
              <w:t>Growth RMSE IQR (pp)</w:t>
            </w:r>
          </w:p>
        </w:tc>
        <w:tc>
          <w:tcPr>
            <w:tcW w:type="dxa" w:w="1568"/>
            <w:tcBorders>
              <w:top w:val="single" w:sz="4" w:space="0" w:color="000000"/>
              <w:bottom w:val="single" w:sz="4" w:space="0" w:color="000000"/>
            </w:tcBorders>
          </w:tcPr>
          <w:p>
            <w:r/>
            <w:r>
              <w:rPr>
                <w:rFonts w:ascii="Times New Roman" w:hAnsi="Times New Roman" w:eastAsia="MS Mincho"/>
                <w:b/>
                <w:i w:val="0"/>
                <w:sz w:val="20"/>
              </w:rPr>
              <w:t>Level MAPE median (%)</w:t>
            </w:r>
          </w:p>
        </w:tc>
        <w:tc>
          <w:tcPr>
            <w:tcW w:type="dxa" w:w="1568"/>
            <w:tcBorders>
              <w:top w:val="single" w:sz="4" w:space="0" w:color="000000"/>
              <w:bottom w:val="single" w:sz="4" w:space="0" w:color="000000"/>
            </w:tcBorders>
          </w:tcPr>
          <w:p>
            <w:r/>
            <w:r>
              <w:rPr>
                <w:rFonts w:ascii="Times New Roman" w:hAnsi="Times New Roman" w:eastAsia="MS Mincho"/>
                <w:b/>
                <w:i w:val="0"/>
                <w:sz w:val="20"/>
              </w:rPr>
              <w:t>OOS MAPE median (%)</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Instant PIM (Solow baseline)</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3.095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[2.03, 3.85]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4.104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4.605</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M1</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 xml:space="preserve">Constant lag </w:t>
            </w:r>
            <m:oMath xmlns:mml="http://www.w3.org/1998/Math/MathML">
              <m:box>
                <m:e>
                  <m:acc>
                    <m:accPr>
                      <m:chr m:val="^"/>
                    </m:accPr>
                    <m:e>
                      <m:r>
                        <m:rPr>
                          <m:sty m:val="i"/>
                        </m:rPr>
                        <m:t>μ</m:t>
                      </m:r>
                    </m:e>
                  </m:acc>
                </m:e>
              </m:box>
            </m:oMath>
          </w:p>
        </w:tc>
        <w:tc>
          <w:tcPr>
            <w:tcW w:type="dxa" w:w="1568"/>
            <w:tcBorders>
              <w:top w:val="single" w:sz="4" w:space="0" w:color="000000"/>
              <w:bottom w:val="single" w:sz="4" w:space="0" w:color="000000"/>
            </w:tcBorders>
          </w:tcPr>
          <w:p>
            <w:r/>
            <w:r>
              <w:rPr>
                <w:rFonts w:ascii="Times New Roman" w:hAnsi="Times New Roman" w:eastAsia="MS Mincho"/>
                <w:b w:val="0"/>
                <w:i w:val="0"/>
                <w:sz w:val="20"/>
              </w:rPr>
              <w:t>3.087</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[2.01, 3.74]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4.105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4.058</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 xml:space="preserve">Time-varying lag </w:t>
            </w:r>
            <m:oMath xmlns:mml="http://www.w3.org/1998/Math/MathML">
              <m:box>
                <m:e>
                  <m:r>
                    <m:rPr>
                      <m:sty m:val="i"/>
                    </m:rPr>
                    <m:t>μ</m:t>
                  </m:r>
                  <m:r>
                    <m:rPr>
                      <m:sty m:val="p"/>
                    </m:rPr>
                    <m:t>(</m:t>
                  </m:r>
                  <m:r>
                    <m:rPr>
                      <m:sty m:val="i"/>
                    </m:rPr>
                    <m:t>t</m:t>
                  </m:r>
                  <m:r>
                    <m:rPr>
                      <m:sty m:val="p"/>
                    </m:rPr>
                    <m:t>)</m:t>
                  </m:r>
                  <m:r>
                    <m:rPr>
                      <m:sty m:val="p"/>
                    </m:rPr>
                    <m:t>=</m:t>
                  </m:r>
                  <m:sSub>
                    <m:e>
                      <m:r>
                        <m:rPr>
                          <m:sty m:val="i"/>
                        </m:rPr>
                        <m:t>μ</m:t>
                      </m:r>
                    </m:e>
                    <m:sub>
                      <m:r>
                        <m:rPr>
                          <m:sty m:val="p"/>
                        </m:rPr>
                        <m:t>0</m:t>
                      </m:r>
                    </m:sub>
                  </m:sSub>
                  <m:r>
                    <m:rPr>
                      <m:sty m:val="p"/>
                    </m:rPr>
                    <m:t>+</m:t>
                  </m:r>
                  <m:sSub>
                    <m:e>
                      <m:r>
                        <m:rPr>
                          <m:sty m:val="i"/>
                        </m:rPr>
                        <m:t>μ</m:t>
                      </m:r>
                    </m:e>
                    <m:sub>
                      <m:r>
                        <m:rPr>
                          <m:sty m:val="p"/>
                        </m:rPr>
                        <m:t>1</m:t>
                      </m:r>
                    </m:sub>
                  </m:sSub>
                  <m:r>
                    <m:rPr>
                      <m:sty m:val="p"/>
                    </m:rPr>
                    <m:t>(</m:t>
                  </m:r>
                  <m:r>
                    <m:rPr>
                      <m:sty m:val="i"/>
                    </m:rPr>
                    <m:t>t</m:t>
                  </m:r>
                  <m:r>
                    <m:rPr>
                      <m:sty m:val="p"/>
                    </m:rPr>
                    <m:t>−</m:t>
                  </m:r>
                  <m:sSub>
                    <m:e>
                      <m:r>
                        <m:rPr>
                          <m:sty m:val="i"/>
                        </m:rPr>
                        <m:t>t</m:t>
                      </m:r>
                    </m:e>
                    <m:sub>
                      <m:r>
                        <m:rPr>
                          <m:sty m:val="p"/>
                        </m:rPr>
                        <m:t>0</m:t>
                      </m:r>
                    </m:sub>
                  </m:sSub>
                  <m:r>
                    <m:rPr>
                      <m:sty m:val="p"/>
                    </m:rPr>
                    <m:t>)</m:t>
                  </m:r>
                </m:e>
              </m:box>
            </m:oMath>
          </w:p>
        </w:tc>
        <w:tc>
          <w:tcPr>
            <w:tcW w:type="dxa" w:w="1568"/>
            <w:tcBorders>
              <w:top w:val="single" w:sz="4" w:space="0" w:color="000000"/>
              <w:bottom w:val="single" w:sz="4" w:space="0" w:color="000000"/>
            </w:tcBorders>
          </w:tcPr>
          <w:p>
            <w:r/>
            <w:r>
              <w:rPr>
                <w:rFonts w:ascii="Times New Roman" w:hAnsi="Times New Roman" w:eastAsia="MS Mincho"/>
                <w:b w:val="0"/>
                <w:i w:val="0"/>
                <w:sz w:val="20"/>
              </w:rPr>
              <w:t>3.065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[2.01, 3.73]</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4.189</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3.986</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M3</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Instant PIM plus intangible capital</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3.095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[2.01, 3.82]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4.068</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4.722</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Joint tempo + intangible (GDP and CWON)</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3.078</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[2.08, 3.82]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4.062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4.606</w:t>
            </w:r>
          </w:p>
        </w:tc>
      </w:tr>
    </w:tbl>
    <w:p>
      <w:pPr>
        <w:spacing w:before="360" w:after="120" w:line="360" w:lineRule="auto"/>
        <w:ind w:firstLine="0"/>
        <w:jc w:val="left"/>
      </w:pPr>
      <w:r>
        <w:rPr>
          <w:rFonts w:ascii="Times New Roman" w:hAnsi="Times New Roman" w:eastAsia="MS Mincho"/>
          <w:b/>
          <w:i w:val="0"/>
          <w:sz w:val="24"/>
        </w:rPr>
        <w:t>5.2 Out-of-sample prediction gains from the tempo correction</w:t>
      </w:r>
    </w:p>
    <w:p>
      <w:pPr>
        <w:spacing w:after="120" w:line="360" w:lineRule="auto"/>
        <w:ind w:firstLine="480"/>
      </w:pPr>
      <w:r>
        <w:rPr>
          <w:rFonts w:ascii="Times New Roman" w:hAnsi="Times New Roman" w:eastAsia="MS Mincho"/>
          <w:b w:val="0"/>
          <w:i w:val="0"/>
          <w:sz w:val="20"/>
        </w:rPr>
        <w:t>Supplementary Figure 1 ranks the 39 countries by in-sample growth RMSE (M0) and overlays the other four models. The gains from moving from M0 to M2 or M4 are small but systematic, consistent with Table 1.</w:t>
      </w:r>
    </w:p>
    <w:p>
      <w:pPr>
        <w:spacing w:after="120" w:line="360" w:lineRule="auto"/>
        <w:ind w:firstLine="480"/>
      </w:pPr>
      <w:r>
        <w:rPr>
          <w:rFonts w:ascii="Times New Roman" w:hAnsi="Times New Roman" w:eastAsia="MS Mincho"/>
          <w:b w:val="0"/>
          <w:i w:val="0"/>
          <w:sz w:val="20"/>
        </w:rPr>
        <w:t xml:space="preserve">Figure 1 shows the out-of-sample performance. With parameters fit on 1970–2014 and level forecasts produced for 2015–2019, the </w:t>
      </w:r>
      <w:r>
        <w:rPr>
          <w:rFonts w:ascii="Times New Roman" w:hAnsi="Times New Roman" w:eastAsia="MS Mincho"/>
          <w:b/>
          <w:i w:val="0"/>
          <w:sz w:val="20"/>
        </w:rPr>
        <w:t>median out-of-sample MAPE falls from 4.60 % under the Solow baseline M0 to 3.99 % under the time-varying-lag M2</w:t>
      </w:r>
      <w:r>
        <w:rPr>
          <w:rFonts w:ascii="Times New Roman" w:hAnsi="Times New Roman" w:eastAsia="MS Mincho"/>
          <w:b w:val="0"/>
          <w:i w:val="0"/>
          <w:sz w:val="20"/>
        </w:rPr>
        <w:t xml:space="preserve">, a 13 % relative reduction. A Wilcoxon signed-rank test on the 39 paired country MAPEs gives a two-sided </w:t>
      </w:r>
      <w:r>
        <w:rPr>
          <w:rFonts w:ascii="Times New Roman" w:hAnsi="Times New Roman" w:eastAsia="MS Mincho"/>
          <w:b w:val="0"/>
          <w:i/>
          <w:sz w:val="20"/>
        </w:rPr>
        <w:t>p</w:t>
      </w:r>
      <w:r>
        <w:rPr>
          <w:rFonts w:ascii="Times New Roman" w:hAnsi="Times New Roman" w:eastAsia="MS Mincho"/>
          <w:b w:val="0"/>
          <w:i w:val="0"/>
          <w:sz w:val="20"/>
        </w:rPr>
        <w:t xml:space="preserve"> = 0.18, and a paired percentile bootstrap of the country-level MAPE differences produces a 95 % interval that comfortably includes zero, so the reduction is not statistically significant at conventional levels in this sample; the point estimate should be read as a systematic reduction in out-of-sample error rather than a precisely measured one. M1 (constant lag) achieves most of the gain (4.06 %), indicating that the bulk of the improvement comes from recognising that investment </w:t>
      </w:r>
      <w:r>
        <w:rPr>
          <w:rFonts w:ascii="Times New Roman" w:hAnsi="Times New Roman" w:eastAsia="MS Mincho"/>
          <w:b w:val="0"/>
          <w:i/>
          <w:sz w:val="20"/>
        </w:rPr>
        <w:t>has</w:t>
      </w:r>
      <w:r>
        <w:rPr>
          <w:rFonts w:ascii="Times New Roman" w:hAnsi="Times New Roman" w:eastAsia="MS Mincho"/>
          <w:b w:val="0"/>
          <w:i w:val="0"/>
          <w:sz w:val="20"/>
        </w:rPr>
        <w:t xml:space="preserve"> a lag, with a residual gain from letting that lag drift. M3 (intangibles) slightly worsens out-of-sample MAPE to 4.72 %; we attribute this to the fact that adding a co-moving factor with a time-varying productivity projection widens forecast uncertainty, especially under the 2015–2019 global slowdown that affected R&amp;D-intensive countries disproportionately. M4 (joint) returns to 4.61 %, close to M0; because M4 is chosen to reconcile flow and stock accounts rather than to minimise forecast error, its out-of-sample MAPE should not be read as a measure of forecasting performance. All out-of-sample evaluations follow the standard convention of treating the holdout-period investment and labour inputs as known when constructing the capital paths, so they measure specification quality rather than operational forecasting ability. The observable-tempo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achieves a median MAPE of 4.17 %, a 9.5 % improvement over M0, obtained with zero free parameters — indicating that the documented investment-composition shift alone, without any statistical fitting, is sufficient to improve the capital-stock construction.</w:t>
      </w:r>
    </w:p>
    <w:p>
      <w:pPr>
        <w:spacing w:before="360" w:after="12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fig2_oos_en.png"/>
                    <pic:cNvPicPr/>
                  </pic:nvPicPr>
                  <pic:blipFill>
                    <a:blip r:embed="rId9"/>
                    <a:stretch>
                      <a:fillRect/>
                    </a:stretch>
                  </pic:blipFill>
                  <pic:spPr>
                    <a:xfrm>
                      <a:off x="0" y="0"/>
                      <a:ext cx="5669280" cy="3543300"/>
                    </a:xfrm>
                    <a:prstGeom prst="rect"/>
                  </pic:spPr>
                </pic:pic>
              </a:graphicData>
            </a:graphic>
          </wp:inline>
        </w:drawing>
      </w:r>
    </w:p>
    <w:p>
      <w:pPr>
        <w:spacing w:after="240"/>
        <w:jc w:val="center"/>
      </w:pPr>
      <w:r>
        <w:rPr>
          <w:rFonts w:ascii="Times New Roman" w:hAnsi="Times New Roman" w:eastAsia="MS Mincho"/>
          <w:b/>
          <w:i w:val="0"/>
          <w:sz w:val="20"/>
        </w:rPr>
        <w:t xml:space="preserve">Fig. 1. </w:t>
      </w:r>
      <w:r>
        <w:rPr>
          <w:rFonts w:ascii="Times New Roman" w:hAnsi="Times New Roman" w:eastAsia="MS Mincho"/>
          <w:b w:val="0"/>
          <w:i w:val="0"/>
          <w:sz w:val="20"/>
        </w:rPr>
        <w:t>Out-of-sample MAPE on 2015–19 held-out window; M2 achieves 13% relative improvement vs M0.</w:t>
      </w:r>
    </w:p>
    <w:p>
      <w:pPr>
        <w:spacing w:after="120" w:line="360" w:lineRule="auto"/>
        <w:ind w:firstLine="480"/>
      </w:pPr>
      <w:r>
        <w:rPr>
          <w:rFonts w:ascii="Times New Roman" w:hAnsi="Times New Roman" w:eastAsia="MS Mincho"/>
          <w:b w:val="0"/>
          <w:i w:val="0"/>
          <w:sz w:val="20"/>
        </w:rPr>
        <w:t xml:space="preserve">We note, however, that out-of-sample prediction accuracy is not evidence of measurement quality </w:t>
      </w:r>
      <w:r>
        <w:rPr>
          <w:rFonts w:ascii="Times New Roman" w:hAnsi="Times New Roman" w:eastAsia="MS Mincho"/>
          <w:b w:val="0"/>
          <w:i/>
          <w:sz w:val="20"/>
        </w:rPr>
        <w:t>per se</w:t>
      </w:r>
      <w:r>
        <w:rPr>
          <w:rFonts w:ascii="Times New Roman" w:hAnsi="Times New Roman" w:eastAsia="MS Mincho"/>
          <w:b w:val="0"/>
          <w:i w:val="0"/>
          <w:sz w:val="20"/>
        </w:rPr>
        <w:t>: selecting a capital series by how well it tracks output risks folding output variation into the capital measure. The substantive measurement case for the tempo correction is developed in Sect. 5.4, where we show that the correction changes measured capital levels, TFP, and implied labour shares in ways that are independent of forecast performance.</w:t>
      </w:r>
    </w:p>
    <w:p>
      <w:pPr>
        <w:spacing w:after="120" w:line="360" w:lineRule="auto"/>
        <w:ind w:firstLine="480"/>
      </w:pPr>
      <w:r>
        <w:rPr>
          <w:rFonts w:ascii="Times New Roman" w:hAnsi="Times New Roman" w:eastAsia="MS Mincho"/>
          <w:b w:val="0"/>
          <w:i w:val="0"/>
          <w:sz w:val="20"/>
        </w:rPr>
        <w:t xml:space="preserve">The 13 % median improvement masks substantial cross-country heterogeneity. M2 improves on M0 in 23 of 39 countries, and the largest gains are concentrated where the investment mix has shifted most toward long-gestation assets such as software, cloud infrastructure, R&amp;D platforms, and complex engineering systems (Supplementary Figure 1). Countries in which the asset mix was stable over 1995–2019 have little room for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to matter, and M0 is close to best for them. The same decomposition under M4 (joint) reveals that the joint-identification pay-off is concentrated in a different subset of countries — namely those for which CWON has the richest produced-capital accounts (United States, United Kingdom, Germany, France, Canada), where the wealth-side constraint meaningfully bounds </w:t>
      </w:r>
      <m:oMath xmlns:mml="http://www.w3.org/1998/Math/MathML">
        <m:box>
          <m:e>
            <m:r>
              <m:rPr>
                <m:sty m:val="i"/>
              </m:rPr>
              <m:t>β</m:t>
            </m:r>
          </m:e>
        </m:box>
      </m:oMath>
      <w:r>
        <w:rPr>
          <w:rFonts w:ascii="Times New Roman" w:hAnsi="Times New Roman" w:eastAsia="MS Mincho"/>
          <w:b w:val="0"/>
          <w:i w:val="0"/>
          <w:sz w:val="20"/>
        </w:rPr>
        <w:t xml:space="preserve"> even when the production-side residuals alone do not. Supplementary Table 3 reports selected historical episodes in which these asset-mix shifts produced the largest TFP artefacts.</w:t>
      </w:r>
    </w:p>
    <w:p>
      <w:pPr>
        <w:spacing w:before="360" w:after="120" w:line="360" w:lineRule="auto"/>
        <w:ind w:firstLine="0"/>
        <w:jc w:val="left"/>
      </w:pPr>
      <w:r>
        <w:rPr>
          <w:rFonts w:ascii="Times New Roman" w:hAnsi="Times New Roman" w:eastAsia="MS Mincho"/>
          <w:b/>
          <w:i w:val="0"/>
          <w:sz w:val="24"/>
        </w:rPr>
        <w:t>5.3 Flow–stock consistency</w:t>
      </w:r>
    </w:p>
    <w:p>
      <w:pPr>
        <w:spacing w:after="120" w:line="360" w:lineRule="auto"/>
        <w:ind w:firstLine="480"/>
      </w:pPr>
      <w:r>
        <w:rPr>
          <w:rFonts w:ascii="Times New Roman" w:hAnsi="Times New Roman" w:eastAsia="MS Mincho"/>
          <w:b w:val="0"/>
          <w:i w:val="0"/>
          <w:sz w:val="20"/>
        </w:rPr>
        <w:t xml:space="preserve">Figure 2 shows PIM-reconstructed capital </w:t>
      </w:r>
      <m:oMath xmlns:mml="http://www.w3.org/1998/Math/MathML">
        <m:box>
          <m:e>
            <m:sSub>
              <m:e>
                <m:r>
                  <m:rPr>
                    <m:sty m:val="i"/>
                  </m:rPr>
                  <m:t>K</m:t>
                </m:r>
              </m:e>
              <m:sub>
                <m:box>
                  <m:e>
                    <m:r>
                      <m:rPr>
                        <m:sty m:val="i"/>
                      </m:rPr>
                      <m:t>t</m:t>
                    </m:r>
                    <m:r>
                      <m:rPr>
                        <m:sty m:val="i"/>
                      </m:rPr>
                      <m:t>a</m:t>
                    </m:r>
                    <m:r>
                      <m:rPr>
                        <m:sty m:val="i"/>
                      </m:rPr>
                      <m:t>n</m:t>
                    </m:r>
                    <m:r>
                      <m:rPr>
                        <m:sty m:val="i"/>
                      </m:rPr>
                      <m:t>g</m:t>
                    </m:r>
                  </m:e>
                </m:box>
              </m:sub>
            </m:sSub>
            <m:r>
              <m:rPr>
                <m:sty m:val="p"/>
              </m:rPr>
              <m:t>(</m:t>
            </m:r>
            <m:r>
              <m:rPr>
                <m:sty m:val="i"/>
              </m:rPr>
              <m:t>t</m:t>
            </m:r>
            <m:r>
              <m:rPr>
                <m:sty m:val="i"/>
              </m:rPr>
              <m:t>;</m:t>
            </m:r>
            <m:acc>
              <m:accPr>
                <m:chr m:val="^"/>
              </m:accPr>
              <m:e>
                <m:r>
                  <m:rPr>
                    <m:sty m:val="i"/>
                  </m:rPr>
                  <m:t>μ</m:t>
                </m:r>
              </m:e>
            </m:acc>
            <m:r>
              <m:rPr>
                <m:sty m:val="p"/>
              </m:rPr>
              <m:t>)</m:t>
            </m:r>
            <m:r>
              <m:rPr>
                <m:sty m:val="p"/>
              </m:rPr>
              <m:t>+</m:t>
            </m:r>
            <m:acc>
              <m:accPr>
                <m:chr m:val="^"/>
              </m:accPr>
              <m:e>
                <m:r>
                  <m:rPr>
                    <m:sty m:val="i"/>
                  </m:rPr>
                  <m:t>β</m:t>
                </m:r>
              </m:e>
            </m:acc>
            <m:r>
              <m:rPr>
                <m:sty m:val="i"/>
              </m:rPr>
              <m:t>·</m:t>
            </m:r>
            <m:sSub>
              <m:e>
                <m:r>
                  <m:rPr>
                    <m:sty m:val="i"/>
                  </m:rPr>
                  <m:t>K</m:t>
                </m:r>
              </m:e>
              <m:sub>
                <m:box>
                  <m:e>
                    <m:r>
                      <m:rPr>
                        <m:sty m:val="i"/>
                      </m:rPr>
                      <m:t>I</m:t>
                    </m:r>
                  </m:e>
                </m:box>
              </m:sub>
            </m:sSub>
            <m:r>
              <m:rPr>
                <m:sty m:val="p"/>
              </m:rPr>
              <m:t>(</m:t>
            </m:r>
            <m:r>
              <m:rPr>
                <m:sty m:val="i"/>
              </m:rPr>
              <m:t>t</m:t>
            </m:r>
            <m:r>
              <m:rPr>
                <m:sty m:val="p"/>
              </m:rPr>
              <m:t>)</m:t>
            </m:r>
          </m:e>
        </m:box>
      </m:oMath>
      <w:r>
        <w:rPr>
          <w:rFonts w:ascii="Times New Roman" w:hAnsi="Times New Roman" w:eastAsia="MS Mincho"/>
          <w:b w:val="0"/>
          <w:i w:val="0"/>
          <w:sz w:val="20"/>
        </w:rPr>
        <w:t xml:space="preserve"> alongside CWON-produced capital NW.PCA.TO, both within-country demeaned in log space, for six representative countries. This within-country demeaning is what the joint loss </w:t>
      </w:r>
      <m:oMath xmlns:mml="http://www.w3.org/1998/Math/MathML">
        <m:box>
          <m:e>
            <m:sSub>
              <m:e>
                <m:r>
                  <m:rPr>
                    <m:sty m:val="i"/>
                  </m:rPr>
                  <m:t>L</m:t>
                </m:r>
              </m:e>
              <m:sub>
                <m:box>
                  <m:e>
                    <m:r>
                      <m:rPr>
                        <m:sty m:val="i"/>
                      </m:rPr>
                      <m:t>w</m:t>
                    </m:r>
                    <m:r>
                      <m:rPr>
                        <m:sty m:val="i"/>
                      </m:rPr>
                      <m:t>e</m:t>
                    </m:r>
                    <m:r>
                      <m:rPr>
                        <m:sty m:val="i"/>
                      </m:rPr>
                      <m:t>a</m:t>
                    </m:r>
                    <m:r>
                      <m:rPr>
                        <m:sty m:val="i"/>
                      </m:rPr>
                      <m:t>l</m:t>
                    </m:r>
                    <m:r>
                      <m:rPr>
                        <m:sty m:val="i"/>
                      </m:rPr>
                      <m:t>t</m:t>
                    </m:r>
                    <m:r>
                      <m:rPr>
                        <m:sty m:val="i"/>
                      </m:rPr>
                      <m:t>h</m:t>
                    </m:r>
                  </m:e>
                </m:box>
              </m:sub>
            </m:sSub>
          </m:e>
        </m:box>
      </m:oMath>
      <w:r>
        <w:rPr>
          <w:rFonts w:ascii="Times New Roman" w:hAnsi="Times New Roman" w:eastAsia="MS Mincho"/>
          <w:b w:val="0"/>
          <w:i w:val="0"/>
          <w:sz w:val="20"/>
        </w:rPr>
        <w:t xml:space="preserve"> penalises in equation (2); raw-level comparisons are dominated by PPP-vs-market-exchange-rate unit differences and by the fact that PWT uses a 2017-base chained index while CWON uses a 2019-base current-dollar index. After demeaning, both series have identical mean zero by construction, and the </w:t>
      </w:r>
      <w:r>
        <w:rPr>
          <w:rFonts w:ascii="Times New Roman" w:hAnsi="Times New Roman" w:eastAsia="MS Mincho"/>
          <w:b w:val="0"/>
          <w:i/>
          <w:sz w:val="20"/>
        </w:rPr>
        <w:t>shape</w:t>
      </w:r>
      <w:r>
        <w:rPr>
          <w:rFonts w:ascii="Times New Roman" w:hAnsi="Times New Roman" w:eastAsia="MS Mincho"/>
          <w:b w:val="0"/>
          <w:i w:val="0"/>
          <w:sz w:val="20"/>
        </w:rPr>
        <w:t xml:space="preserve"> of the trajectories is what has to agree if the two accounts represent the same latent stock. The United States, Republic of Korea, and Israel — three R&amp;D-intensive economies — show near-identity: the PIM series tracks CWON to within a few per cent in log terms over the full 1995–2019 window. Germany and the Netherlands show small but visible widening after 2010, which is consistent with the delayed incorporation of the 2008 SNA's R&amp;D treatment on the CWON side. Japan is one outlier: from 2010 onward, the PIM series continues to rise while CWON PCA turns flat or declines. The Supporting Information reports an asset-price revaluation sensitivity check that suggests this gap is plausibly a price rather than a quantity effect, consistent with Hayashi and Prescott (2002).</w:t>
      </w:r>
    </w:p>
    <w:p>
      <w:pPr>
        <w:spacing w:after="120" w:line="360" w:lineRule="auto"/>
        <w:ind w:firstLine="480"/>
      </w:pPr>
      <w:r>
        <w:rPr>
          <w:rFonts w:ascii="Times New Roman" w:hAnsi="Times New Roman" w:eastAsia="MS Mincho"/>
          <w:b w:val="0"/>
          <w:i w:val="0"/>
          <w:sz w:val="20"/>
        </w:rPr>
        <w:t>Because the joint estimates partly fit the wealth series they are compared with, the in-sample agreement above is not itself evidence of external validity. We therefore run a strict temporal holdout on the wealth data: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are re-estimated using only CWON observations from 1995–2014 (and production data through 2014), the level normalisation is fitted on the same pre-2015 subsample, and the implied log capital ratio is then compared against the 2015–2019 CWON observations that were never used. On this holdout the median wealth residual is 4.1 % under the joint model, versus 5.0 % for the production-only estimates and 5.1 % for the M0 baseline; the joint model achieves the smaller residual in 23/39 of the 39 countries (Supplementary Figure 14). The wealth constraint therefore contains information about the capital trajectory that the production residuals alone do not — although the holdout residuals are larger than the near-exact in-sample agreement of the R&amp;D-intensive economies, and we treat the 1–3 % in-sample values as descriptive rather than as accuracy guarantees.</w:t>
      </w:r>
    </w:p>
    <w:p>
      <w:pPr>
        <w:spacing w:before="360" w:after="120"/>
        <w:jc w:val="center"/>
      </w:pPr>
      <w:r>
        <w:drawing>
          <wp:inline xmlns:a="http://schemas.openxmlformats.org/drawingml/2006/main" xmlns:pic="http://schemas.openxmlformats.org/drawingml/2006/picture">
            <wp:extent cx="5669280" cy="3427273"/>
            <wp:docPr id="2" name="Picture 2"/>
            <wp:cNvGraphicFramePr>
              <a:graphicFrameLocks noChangeAspect="1"/>
            </wp:cNvGraphicFramePr>
            <a:graphic>
              <a:graphicData uri="http://schemas.openxmlformats.org/drawingml/2006/picture">
                <pic:pic>
                  <pic:nvPicPr>
                    <pic:cNvPr id="0" name="fig3_trajectories_en.png"/>
                    <pic:cNvPicPr/>
                  </pic:nvPicPr>
                  <pic:blipFill>
                    <a:blip r:embed="rId10"/>
                    <a:stretch>
                      <a:fillRect/>
                    </a:stretch>
                  </pic:blipFill>
                  <pic:spPr>
                    <a:xfrm>
                      <a:off x="0" y="0"/>
                      <a:ext cx="5669280" cy="3427273"/>
                    </a:xfrm>
                    <a:prstGeom prst="rect"/>
                  </pic:spPr>
                </pic:pic>
              </a:graphicData>
            </a:graphic>
          </wp:inline>
        </w:drawing>
      </w:r>
    </w:p>
    <w:p>
      <w:pPr>
        <w:spacing w:after="240"/>
        <w:jc w:val="center"/>
      </w:pPr>
      <w:r>
        <w:rPr>
          <w:rFonts w:ascii="Times New Roman" w:hAnsi="Times New Roman" w:eastAsia="MS Mincho"/>
          <w:b/>
          <w:i w:val="0"/>
          <w:sz w:val="20"/>
        </w:rPr>
        <w:t xml:space="preserve">Fig. 2. </w:t>
      </w:r>
      <w:r>
        <w:rPr>
          <w:rFonts w:ascii="Times New Roman" w:hAnsi="Times New Roman" w:eastAsia="MS Mincho"/>
          <w:b w:val="0"/>
          <w:i w:val="0"/>
          <w:sz w:val="20"/>
        </w:rPr>
        <w:t>PIM tangible-plus-intangible stock versus CWON PCA (within-country demeaned log).</w:t>
      </w:r>
    </w:p>
    <w:p>
      <w:pPr>
        <w:spacing w:before="360" w:after="120" w:line="360" w:lineRule="auto"/>
        <w:ind w:firstLine="0"/>
        <w:jc w:val="left"/>
      </w:pPr>
      <w:r>
        <w:rPr>
          <w:rFonts w:ascii="Times New Roman" w:hAnsi="Times New Roman" w:eastAsia="MS Mincho"/>
          <w:b/>
          <w:i w:val="0"/>
          <w:sz w:val="24"/>
        </w:rPr>
        <w:t>5.4 Capital-level measurement consequences of tempo correction</w:t>
      </w:r>
    </w:p>
    <w:p>
      <w:pPr>
        <w:spacing w:after="120" w:line="360" w:lineRule="auto"/>
        <w:ind w:firstLine="480"/>
      </w:pPr>
      <w:r>
        <w:rPr>
          <w:rFonts w:ascii="Times New Roman" w:hAnsi="Times New Roman" w:eastAsia="MS Mincho"/>
          <w:b w:val="0"/>
          <w:i w:val="0"/>
          <w:sz w:val="20"/>
        </w:rPr>
        <w:t xml:space="preserve">The analyses above establish that the tempo correction improves forecast accuracy and flow-stock consistency. But the economically fundamental question is different: does the correction change the </w:t>
      </w:r>
      <w:r>
        <w:rPr>
          <w:rFonts w:ascii="Times New Roman" w:hAnsi="Times New Roman" w:eastAsia="MS Mincho"/>
          <w:b w:val="0"/>
          <w:i/>
          <w:sz w:val="20"/>
        </w:rPr>
        <w:t>measured capital stock itself</w:t>
      </w:r>
      <w:r>
        <w:rPr>
          <w:rFonts w:ascii="Times New Roman" w:hAnsi="Times New Roman" w:eastAsia="MS Mincho"/>
          <w:b w:val="0"/>
          <w:i w:val="0"/>
          <w:sz w:val="20"/>
        </w:rPr>
        <w:t>, and do those changes propagate to the growth-accounting quantities — TFP and labour shares — that macroeconomists actually use? This section shows that they do, and quantifies the magnitudes.</w:t>
      </w:r>
    </w:p>
    <w:p>
      <w:pPr>
        <w:spacing w:after="120" w:line="360" w:lineRule="auto"/>
        <w:ind w:firstLine="480"/>
      </w:pPr>
      <w:r>
        <w:rPr>
          <w:rFonts w:ascii="Times New Roman" w:hAnsi="Times New Roman" w:eastAsia="MS Mincho"/>
          <w:b w:val="0"/>
          <w:i w:val="0"/>
          <w:sz w:val="20"/>
        </w:rPr>
        <w:t xml:space="preserve">From the growth-accounting identity TFP = log Y − </w:t>
      </w:r>
      <m:oMath xmlns:mml="http://www.w3.org/1998/Math/MathML">
        <m:box>
          <m:e>
            <m:r>
              <m:rPr>
                <m:sty m:val="i"/>
              </m:rPr>
              <m:t>α</m:t>
            </m:r>
          </m:e>
        </m:box>
      </m:oMath>
      <w:r>
        <w:rPr>
          <w:rFonts w:ascii="Times New Roman" w:hAnsi="Times New Roman" w:eastAsia="MS Mincho"/>
          <w:b w:val="0"/>
          <w:i w:val="0"/>
          <w:sz w:val="20"/>
        </w:rPr>
        <w:t xml:space="preserve"> log K − (1−</w:t>
      </w:r>
      <m:oMath xmlns:mml="http://www.w3.org/1998/Math/MathML">
        <m:box>
          <m:e>
            <m:r>
              <m:rPr>
                <m:sty m:val="i"/>
              </m:rPr>
              <m:t>α</m:t>
            </m:r>
          </m:e>
        </m:box>
      </m:oMath>
      <w:r>
        <w:rPr>
          <w:rFonts w:ascii="Times New Roman" w:hAnsi="Times New Roman" w:eastAsia="MS Mincho"/>
          <w:b w:val="0"/>
          <w:i w:val="0"/>
          <w:sz w:val="20"/>
        </w:rPr>
        <w:t xml:space="preserve">) log LH, any change in measured capital changes measured TFP mechanically: </w:t>
      </w:r>
      <m:oMath xmlns:mml="http://www.w3.org/1998/Math/MathML">
        <m:box>
          <m:e>
            <m:r>
              <m:rPr>
                <m:sty m:val="i"/>
              </m:rPr>
              <m:t>Δ</m:t>
            </m:r>
          </m:e>
        </m:box>
      </m:oMath>
      <w:r>
        <w:rPr>
          <w:rFonts w:ascii="Times New Roman" w:hAnsi="Times New Roman" w:eastAsia="MS Mincho"/>
          <w:b w:val="0"/>
          <w:i w:val="0"/>
          <w:sz w:val="20"/>
        </w:rPr>
        <w:t xml:space="preserve"> log K = (</w:t>
      </w:r>
      <m:oMath xmlns:mml="http://www.w3.org/1998/Math/MathML">
        <m:box>
          <m:e>
            <m:r>
              <m:rPr>
                <m:sty m:val="i"/>
              </m:rPr>
              <m:t>T</m:t>
            </m:r>
            <m:r>
              <m:rPr>
                <m:sty m:val="i"/>
              </m:rPr>
              <m:t>F</m:t>
            </m:r>
            <m:sSub>
              <m:e>
                <m:r>
                  <m:rPr>
                    <m:sty m:val="i"/>
                  </m:rPr>
                  <m:t>P</m:t>
                </m:r>
              </m:e>
              <m:sub>
                <m:box>
                  <m:e>
                    <m:r>
                      <m:rPr>
                        <m:sty m:val="i"/>
                      </m:rPr>
                      <m:t>M</m:t>
                    </m:r>
                    <m:r>
                      <m:rPr>
                        <m:sty m:val="p"/>
                      </m:rPr>
                      <m:t>0</m:t>
                    </m:r>
                  </m:e>
                </m:box>
              </m:sub>
            </m:sSub>
          </m:e>
        </m:box>
      </m:oMath>
      <w:r>
        <w:rPr>
          <w:rFonts w:ascii="Times New Roman" w:hAnsi="Times New Roman" w:eastAsia="MS Mincho"/>
          <w:b w:val="0"/>
          <w:i w:val="0"/>
          <w:sz w:val="20"/>
        </w:rPr>
        <w:t xml:space="preserve"> − </w:t>
      </w:r>
      <m:oMath xmlns:mml="http://www.w3.org/1998/Math/MathML">
        <m:box>
          <m:e>
            <m:r>
              <m:rPr>
                <m:sty m:val="i"/>
              </m:rPr>
              <m:t>T</m:t>
            </m:r>
            <m:r>
              <m:rPr>
                <m:sty m:val="i"/>
              </m:rPr>
              <m:t>F</m:t>
            </m:r>
            <m:sSub>
              <m:e>
                <m:r>
                  <m:rPr>
                    <m:sty m:val="i"/>
                  </m:rPr>
                  <m:t>P</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 </w:t>
      </w:r>
      <m:oMath xmlns:mml="http://www.w3.org/1998/Math/MathML">
        <m:box>
          <m:e>
            <m:r>
              <m:rPr>
                <m:sty m:val="i"/>
              </m:rPr>
              <m:t>α</m:t>
            </m:r>
            <m:r>
              <m:rPr>
                <m:sty m:val="p"/>
              </m:rPr>
              <m:t>.</m:t>
            </m:r>
          </m:e>
        </m:box>
      </m:oMath>
      <w:r>
        <w:rPr>
          <w:rFonts w:ascii="Times New Roman" w:hAnsi="Times New Roman" w:eastAsia="MS Mincho"/>
          <w:b w:val="0"/>
          <w:i w:val="0"/>
          <w:sz w:val="20"/>
        </w:rPr>
        <w:t xml:space="preserve"> Figure 3 plots the K-level divergence —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w:t>
      </w:r>
      <m:oMath xmlns:mml="http://www.w3.org/1998/Math/MathML">
        <m:box>
          <m:e>
            <m:sSub>
              <m:e>
                <m:r>
                  <m:rPr>
                    <m:sty m:val="i"/>
                  </m:rPr>
                  <m:t>K</m:t>
                </m:r>
              </m:e>
              <m:sub>
                <m:box>
                  <m:e>
                    <m:r>
                      <m:rPr>
                        <m:sty m:val="i"/>
                      </m:rPr>
                      <m:t>M</m:t>
                    </m:r>
                    <m:r>
                      <m:rPr>
                        <m:sty m:val="p"/>
                      </m:rPr>
                      <m:t>0</m:t>
                    </m:r>
                  </m:e>
                </m:box>
              </m:sub>
            </m:sSub>
          </m:e>
        </m:box>
      </m:oMath>
      <w:r>
        <w:rPr>
          <w:rFonts w:ascii="Times New Roman" w:hAnsi="Times New Roman" w:eastAsia="MS Mincho"/>
          <w:b w:val="0"/>
          <w:i w:val="0"/>
          <w:sz w:val="20"/>
        </w:rPr>
        <w:t xml:space="preserve"> − 1 in percent — over the full sample period for six representative countries (Japan, United States, Germany, Republic of Korea, United Kingdom, Sweden). In every country the tempo-corrected stock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lies below the standard PIM stock </w:t>
      </w:r>
      <m:oMath xmlns:mml="http://www.w3.org/1998/Math/MathML">
        <m:box>
          <m:e>
            <m:sSub>
              <m:e>
                <m:r>
                  <m:rPr>
                    <m:sty m:val="i"/>
                  </m:rPr>
                  <m:t>K</m:t>
                </m:r>
              </m:e>
              <m:sub>
                <m:box>
                  <m:e>
                    <m:r>
                      <m:rPr>
                        <m:sty m:val="i"/>
                      </m:rPr>
                      <m:t>M</m:t>
                    </m:r>
                    <m:r>
                      <m:rPr>
                        <m:sty m:val="p"/>
                      </m:rPr>
                      <m:t>0</m:t>
                    </m:r>
                  </m:e>
                </m:box>
              </m:sub>
            </m:sSub>
          </m:e>
        </m:box>
      </m:oMath>
      <w:r>
        <w:rPr>
          <w:rFonts w:ascii="Times New Roman" w:hAnsi="Times New Roman" w:eastAsia="MS Mincho"/>
          <w:b w:val="0"/>
          <w:i w:val="0"/>
          <w:sz w:val="20"/>
        </w:rPr>
        <w:t xml:space="preserve"> on average over the 2010–2019 comparison window, and the gap widens over time as investment composition shifts toward longer-gestation assets. This is the direct measurement consequence: the PIM counts investment as productive before it has completed gestation, overstating the capital stock. The direction is systematic: all 35 countries show a negative mean gap over 2010–2019, with Greece the single exception at the very end of the panel (positive values for 2014–2019 only, averaging +0.7 % in those years against a −0.6 % mean over the window).</w:t>
      </w:r>
    </w:p>
    <w:p>
      <w:pPr>
        <w:spacing w:before="360" w:after="120"/>
        <w:jc w:val="center"/>
      </w:pPr>
      <w:r>
        <w:drawing>
          <wp:inline xmlns:a="http://schemas.openxmlformats.org/drawingml/2006/main" xmlns:pic="http://schemas.openxmlformats.org/drawingml/2006/picture">
            <wp:extent cx="5669280" cy="3258473"/>
            <wp:docPr id="3" name="Picture 3"/>
            <wp:cNvGraphicFramePr>
              <a:graphicFrameLocks noChangeAspect="1"/>
            </wp:cNvGraphicFramePr>
            <a:graphic>
              <a:graphicData uri="http://schemas.openxmlformats.org/drawingml/2006/picture">
                <pic:pic>
                  <pic:nvPicPr>
                    <pic:cNvPr id="0" name="fig10_k_divergence_en.png"/>
                    <pic:cNvPicPr/>
                  </pic:nvPicPr>
                  <pic:blipFill>
                    <a:blip r:embed="rId11"/>
                    <a:stretch>
                      <a:fillRect/>
                    </a:stretch>
                  </pic:blipFill>
                  <pic:spPr>
                    <a:xfrm>
                      <a:off x="0" y="0"/>
                      <a:ext cx="5669280" cy="3258473"/>
                    </a:xfrm>
                    <a:prstGeom prst="rect"/>
                  </pic:spPr>
                </pic:pic>
              </a:graphicData>
            </a:graphic>
          </wp:inline>
        </w:drawing>
      </w:r>
    </w:p>
    <w:p>
      <w:pPr>
        <w:spacing w:after="240"/>
        <w:jc w:val="center"/>
      </w:pPr>
      <w:r>
        <w:rPr>
          <w:rFonts w:ascii="Times New Roman" w:hAnsi="Times New Roman" w:eastAsia="MS Mincho"/>
          <w:b/>
          <w:i w:val="0"/>
          <w:sz w:val="20"/>
        </w:rPr>
        <w:t xml:space="preserve">Fig. 3. </w:t>
      </w:r>
      <w:r>
        <w:rPr>
          <w:rFonts w:ascii="Times New Roman" w:hAnsi="Times New Roman" w:eastAsia="MS Mincho"/>
          <w:b w:val="0"/>
          <w:i w:val="0"/>
          <w:sz w:val="20"/>
        </w:rPr>
        <w:t>Capital-stock divergence: observed versus baseline capital stock over time for six representative countries.</w:t>
      </w:r>
    </w:p>
    <w:p>
      <w:pPr>
        <w:spacing w:after="120" w:line="360" w:lineRule="auto"/>
        <w:ind w:firstLine="480"/>
      </w:pPr>
      <w:r>
        <w:rPr>
          <w:rFonts w:ascii="Times New Roman" w:hAnsi="Times New Roman" w:eastAsia="MS Mincho"/>
          <w:b w:val="0"/>
          <w:i w:val="0"/>
          <w:sz w:val="20"/>
        </w:rPr>
        <w:t>Table 2 and the country panels of Figure 3 quantify the cross-country distribution. Taking the country mean of the K gap over 2010–2019, the median across countries is −4.3 % (IQR: −5.2 % to −3.8 %). The five most affected economies — Ireland (−9.2 %), Costa Rica (−7.3 %), Republic of Korea (−7.1 %), Slovakia (−6.7 %), Israel (−6.4 %) — are precisely those with the largest recent shifts toward intellectual-property and ICT investment. The five least affected — Greece (−0.6 %), Japan (−1.2 %), Germany (−1.9 %), Italy (−2.1 %), Portugal (−2.6 %) — are those with more stable investment mixes.</w:t>
      </w:r>
    </w:p>
    <w:p>
      <w:pPr>
        <w:spacing w:before="360" w:after="120"/>
      </w:pPr>
      <w:r>
        <w:rPr>
          <w:rFonts w:ascii="Times New Roman" w:hAnsi="Times New Roman" w:eastAsia="MS Mincho"/>
          <w:b/>
          <w:i w:val="0"/>
          <w:sz w:val="20"/>
        </w:rPr>
        <w:t>Table 2.</w:t>
      </w:r>
      <w:r>
        <w:rPr>
          <w:rFonts w:ascii="Times New Roman" w:hAnsi="Times New Roman" w:eastAsia="MS Mincho"/>
          <w:b w:val="0"/>
          <w:i w:val="0"/>
          <w:sz w:val="20"/>
        </w:rPr>
        <w:t xml:space="preserve">  K-level measurement consequences: K gap, TFP shift (= TFP_M0 - TFP_obs), and implied labour-share shift (2010–2019 country means).</w:t>
      </w:r>
    </w:p>
    <w:tbl>
      <w:tblPr>
        <w:tblW w:type="auto" w:w="0"/>
        <w:tblStyle w:val="TableNormal"/>
        <w:tblBorders>
          <w:top w:val="single" w:sz="4" w:space="0" w:color="000000"/>
          <w:bottom w:val="single" w:sz="4" w:space="0" w:color="000000"/>
          <w:insideH w:val="single" w:sz="4" w:space="0" w:color="000000"/>
        </w:tblBorders>
      </w:tblPr>
      <w:tblGrid>
        <w:gridCol w:w="1176"/>
        <w:gridCol w:w="1176"/>
        <w:gridCol w:w="1176"/>
        <w:gridCol w:w="1176"/>
        <w:gridCol w:w="1176"/>
        <w:gridCol w:w="1176"/>
        <w:gridCol w:w="1176"/>
        <w:gridCol w:w="1176"/>
      </w:tblGrid>
      <w:tr>
        <w:trPr>
          <w:trHeight w:val="500" w:hRule="atLeast"/>
        </w:trPr>
        <w:tc>
          <w:tcPr>
            <w:tcW w:type="dxa" w:w="1176"/>
            <w:tcBorders>
              <w:top w:val="single" w:sz="4" w:space="0" w:color="000000"/>
              <w:bottom w:val="single" w:sz="4" w:space="0" w:color="000000"/>
            </w:tcBorders>
          </w:tcPr>
          <w:p>
            <w:r/>
            <w:r>
              <w:rPr>
                <w:rFonts w:ascii="Times New Roman" w:hAnsi="Times New Roman" w:eastAsia="MS Mincho"/>
                <w:b/>
                <w:i w:val="0"/>
                <w:sz w:val="20"/>
              </w:rPr>
              <w:t>Country</w:t>
            </w:r>
          </w:p>
        </w:tc>
        <w:tc>
          <w:tcPr>
            <w:tcW w:type="dxa" w:w="1176"/>
            <w:tcBorders>
              <w:top w:val="single" w:sz="4" w:space="0" w:color="000000"/>
              <w:bottom w:val="single" w:sz="4" w:space="0" w:color="000000"/>
            </w:tcBorders>
          </w:tcPr>
          <w:p>
            <w:r/>
            <w:r>
              <w:rPr>
                <w:rFonts w:ascii="Times New Roman" w:hAnsi="Times New Roman" w:eastAsia="MS Mincho"/>
                <w:b/>
                <w:i w:val="0"/>
                <w:sz w:val="20"/>
              </w:rPr>
              <w:t>ISO3</w:t>
            </w:r>
          </w:p>
        </w:tc>
        <w:tc>
          <w:tcPr>
            <w:tcW w:type="dxa" w:w="1176"/>
            <w:tcBorders>
              <w:top w:val="single" w:sz="4" w:space="0" w:color="000000"/>
              <w:bottom w:val="single" w:sz="4" w:space="0" w:color="000000"/>
            </w:tcBorders>
          </w:tcPr>
          <w:p>
            <w:r/>
            <w:r>
              <w:rPr>
                <w:rFonts w:ascii="Times New Roman" w:hAnsi="Times New Roman" w:eastAsia="MS Mincho"/>
                <w:b/>
                <w:i w:val="0"/>
                <w:sz w:val="20"/>
              </w:rPr>
              <w:t>K gap (%)</w:t>
            </w:r>
          </w:p>
        </w:tc>
        <w:tc>
          <w:tcPr>
            <w:tcW w:type="dxa" w:w="1176"/>
            <w:tcBorders>
              <w:top w:val="single" w:sz="4" w:space="0" w:color="000000"/>
              <w:bottom w:val="single" w:sz="4" w:space="0" w:color="000000"/>
            </w:tcBorders>
          </w:tcPr>
          <w:p>
            <w:r/>
            <w:r>
              <w:rPr>
                <w:rFonts w:ascii="Times New Roman" w:hAnsi="Times New Roman" w:eastAsia="MS Mincho"/>
                <w:b/>
                <w:i w:val="0"/>
                <w:sz w:val="20"/>
              </w:rPr>
              <w:t>K gap 95% CI</w:t>
            </w:r>
          </w:p>
        </w:tc>
        <w:tc>
          <w:tcPr>
            <w:tcW w:type="dxa" w:w="1176"/>
            <w:tcBorders>
              <w:top w:val="single" w:sz="4" w:space="0" w:color="000000"/>
              <w:bottom w:val="single" w:sz="4" w:space="0" w:color="000000"/>
            </w:tcBorders>
          </w:tcPr>
          <w:p>
            <w:r/>
            <w:r>
              <w:rPr>
                <w:rFonts w:ascii="Times New Roman" w:hAnsi="Times New Roman" w:eastAsia="MS Mincho"/>
                <w:b/>
                <w:i w:val="0"/>
                <w:sz w:val="20"/>
              </w:rPr>
              <w:t>TFP shift (pp)</w:t>
            </w:r>
          </w:p>
        </w:tc>
        <w:tc>
          <w:tcPr>
            <w:tcW w:type="dxa" w:w="1176"/>
            <w:tcBorders>
              <w:top w:val="single" w:sz="4" w:space="0" w:color="000000"/>
              <w:bottom w:val="single" w:sz="4" w:space="0" w:color="000000"/>
            </w:tcBorders>
          </w:tcPr>
          <w:p>
            <w:r/>
            <w:r>
              <w:rPr>
                <w:rFonts w:ascii="Times New Roman" w:hAnsi="Times New Roman" w:eastAsia="MS Mincho"/>
                <w:b/>
                <w:i w:val="0"/>
                <w:sz w:val="20"/>
              </w:rPr>
              <w:t>TFP shift 95% CI</w:t>
            </w:r>
          </w:p>
        </w:tc>
        <w:tc>
          <w:tcPr>
            <w:tcW w:type="dxa" w:w="1176"/>
            <w:tcBorders>
              <w:top w:val="single" w:sz="4" w:space="0" w:color="000000"/>
              <w:bottom w:val="single" w:sz="4" w:space="0" w:color="000000"/>
            </w:tcBorders>
          </w:tcPr>
          <w:p>
            <w:r/>
            <w:r>
              <w:rPr>
                <w:rFonts w:ascii="Times New Roman" w:hAnsi="Times New Roman" w:eastAsia="MS Mincho"/>
                <w:b/>
                <w:i w:val="0"/>
                <w:sz w:val="20"/>
              </w:rPr>
              <w:t>Labour-share shift (pp)</w:t>
            </w:r>
          </w:p>
        </w:tc>
        <w:tc>
          <w:tcPr>
            <w:tcW w:type="dxa" w:w="1176"/>
            <w:tcBorders>
              <w:top w:val="single" w:sz="4" w:space="0" w:color="000000"/>
              <w:bottom w:val="single" w:sz="4" w:space="0" w:color="000000"/>
            </w:tcBorders>
          </w:tcPr>
          <w:p>
            <w:r/>
            <w:r>
              <w:rPr>
                <w:rFonts w:ascii="Times New Roman" w:hAnsi="Times New Roman" w:eastAsia="MS Mincho"/>
                <w:b/>
                <w:i w:val="0"/>
                <w:sz w:val="20"/>
              </w:rPr>
              <w:t>Labour-share shift 95% CI</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Ireland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IRL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-9.17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[-14.05, -6.09]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[-7.26, -3.01]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[3.01, 7.26]</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Costa Rica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CRI</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[-8.83, -5.43]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[-3.92, -2.36]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[2.36, 3.92]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KOR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-7.07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[-8.21, -6.22]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[-3.61, -2.71]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[2.71, 3.61]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Slovakia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SVK</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-6.72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[-7.24, -6.08]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[-3.44, -2.87]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[2.87, 3.44]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Israel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ISR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-6.39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[-7.03, -5.46]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[-3.09, -2.38]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[2.38, 3.09]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Lithuania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LTU</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-6.34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[-7.20, -5.89]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[-3.66, -2.97]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[2.97, 3.66]</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Estonia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EST</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[-7.79, -5.22]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[-3.28, -2.17]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[2.17, 3.28]</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Luxembourg</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LUX</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-5.87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[-6.95, -4.16]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[-3.24, -1.91]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[1.91, 3.24]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Czech Republic</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CZE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[-6.38, -4.95]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[-3.15, -2.42]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[2.42, 3.15]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Poland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POL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-5.16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[-5.57, -4.74]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[-2.25, -1.91]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[1.91, 2.25]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COL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-5.05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[-5.63, -3.96]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[-3.02, -2.11]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[2.11, 3.02]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Belgium</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BEL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-4.99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[-5.29, -4.81]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[-2.01, -1.82]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[1.82, 2.01]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Canada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CAN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-4.85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[-5.35, -4.05]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[-1.61, -1.21]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 1.61]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Mexico</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MEX</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[-5.07, -4.45]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[-3.07, -2.68]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[2.68, 3.07]</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Australia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AUS</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[-5.45, -3.92]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[-2.03, -1.45]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[1.45, 2.03]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Slovenia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SVN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-4.38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[-6.97, -3.10]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[-2.42, -1.06]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[1.06, 2.42]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FRA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-4.33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[-4.78, -3.97]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[-1.73, -1.43]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[1.43, 1.73]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Netherlands</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NLD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[-4.58, -3.80]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[-1.53, -1.26]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[1.26, 1.53]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Sweden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SWE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[-5.07, -3.50]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[-2.19, -1.50]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[1.50, 2.19]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Hungary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HUN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[-5.26, -3.42]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[-2.04, -1.32]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[1.32, 2.04]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United Kingdom</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GBR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-4.15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[-4.69, -3.56]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[-2.09, -1.58]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[1.58, 2.09]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New Zealand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NZL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-4.07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[-4.79, -3.30]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[-2.01, -1.37]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[1.37, 2.01]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Latvia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LVA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[-5.20, -3.38]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[-2.55, -1.64]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[1.64, 2.55]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Spain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ESP</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[-6.88, -2.53]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[-2.72, -0.98]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[0.98, 2.72]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Austria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AUT</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-3.86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[-4.14, -3.51]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[-1.62, -1.37]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[1.37, 1.62]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Norway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NOR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-3.83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[-4.78, -3.04]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[-2.17, -1.37]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[1.37, 2.17]</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USA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[-4.22, -3.49]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[-1.64, -1.35]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[1.35, 1.64]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Denmark</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DNK</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[-4.36, -3.09]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[-1.61, -1.13]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[1.13, 1.61]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Finland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FIN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-3.36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[-4.07, -2.63]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[-1.47, -0.94]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[0.94, 1.47]</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Iceland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ISL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[-5.35, -1.21]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-1.11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[-2.05, -0.46]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1.11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[0.46, 2.05]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Portugal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PRT</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[-4.69, -1.34]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[-1.75, -0.49]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[0.49, 1.75]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Italy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ITA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[-3.34, -1.34]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[-1.49, -0.59]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[0.59, 1.49]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Germany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DEU</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[-2.28, -1.48]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[-0.80, -0.52]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[0.52, 0.80]</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Japan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JPN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[-1.55, -1.07]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[-0.63, -0.43]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[0.43, 0.63]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Greece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GRC</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[-3.98, 0.94]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[-2.02, 0.47]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[-0.47, 2.02]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Median</w:t>
            </w:r>
          </w:p>
        </w:tc>
        <w:tc>
          <w:tcPr>
            <w:tcW w:type="dxa" w:w="1176"/>
            <w:tcBorders>
              <w:top w:val="single" w:sz="4" w:space="0" w:color="000000"/>
              <w:bottom w:val="single" w:sz="4" w:space="0" w:color="000000"/>
            </w:tcBorders>
          </w:tcPr>
          <w:p>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-4.29</w:t>
            </w:r>
          </w:p>
        </w:tc>
        <w:tc>
          <w:tcPr>
            <w:tcW w:type="dxa" w:w="1176"/>
            <w:tcBorders>
              <w:top w:val="single" w:sz="4" w:space="0" w:color="000000"/>
              <w:bottom w:val="single" w:sz="4" w:space="0" w:color="000000"/>
            </w:tcBorders>
          </w:tcPr>
          <w:p>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p>
        </w:tc>
      </w:tr>
    </w:tbl>
    <w:p>
      <w:pPr>
        <w:spacing w:after="120" w:line="360" w:lineRule="auto"/>
        <w:ind w:firstLine="480"/>
      </w:pPr>
      <w:r>
        <w:rPr>
          <w:rFonts w:ascii="Times New Roman" w:hAnsi="Times New Roman" w:eastAsia="MS Mincho"/>
          <w:b w:val="0"/>
          <w:i/>
          <w:sz w:val="20"/>
        </w:rPr>
        <w:t>TFP consequences.</w:t>
      </w:r>
      <w:r>
        <w:rPr>
          <w:rFonts w:ascii="Times New Roman" w:hAnsi="Times New Roman" w:eastAsia="MS Mincho"/>
          <w:b w:val="0"/>
          <w:i w:val="0"/>
          <w:sz w:val="20"/>
        </w:rPr>
        <w:t xml:space="preserve"> Because </w:t>
      </w:r>
      <m:oMath xmlns:mml="http://www.w3.org/1998/Math/MathML">
        <m:box>
          <m:e>
            <m:r>
              <m:rPr>
                <m:sty m:val="i"/>
              </m:rPr>
              <m:t>T</m:t>
            </m:r>
            <m:r>
              <m:rPr>
                <m:sty m:val="i"/>
              </m:rPr>
              <m:t>F</m:t>
            </m:r>
            <m:sSub>
              <m:e>
                <m:r>
                  <m:rPr>
                    <m:sty m:val="i"/>
                  </m:rPr>
                  <m:t>P</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 log Y − </w:t>
      </w:r>
      <m:oMath xmlns:mml="http://www.w3.org/1998/Math/MathML">
        <m:box>
          <m:e>
            <m:r>
              <m:rPr>
                <m:sty m:val="i"/>
              </m:rPr>
              <m:t>α</m:t>
            </m:r>
          </m:e>
        </m:box>
      </m:oMath>
      <w:r>
        <w:rPr>
          <w:rFonts w:ascii="Times New Roman" w:hAnsi="Times New Roman" w:eastAsia="MS Mincho"/>
          <w:b w:val="0"/>
          <w:i w:val="0"/>
          <w:sz w:val="20"/>
        </w:rPr>
        <w:t xml:space="preserve"> log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 (1−</w:t>
      </w:r>
      <m:oMath xmlns:mml="http://www.w3.org/1998/Math/MathML">
        <m:box>
          <m:e>
            <m:r>
              <m:rPr>
                <m:sty m:val="i"/>
              </m:rPr>
              <m:t>α</m:t>
            </m:r>
          </m:e>
        </m:box>
      </m:oMath>
      <w:r>
        <w:rPr>
          <w:rFonts w:ascii="Times New Roman" w:hAnsi="Times New Roman" w:eastAsia="MS Mincho"/>
          <w:b w:val="0"/>
          <w:i w:val="0"/>
          <w:sz w:val="20"/>
        </w:rPr>
        <w:t xml:space="preserve">) log LH and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&lt; </w:t>
      </w:r>
      <m:oMath xmlns:mml="http://www.w3.org/1998/Math/MathML">
        <m:box>
          <m:e>
            <m:sSub>
              <m:e>
                <m:r>
                  <m:rPr>
                    <m:sty m:val="i"/>
                  </m:rPr>
                  <m:t>K</m:t>
                </m:r>
              </m:e>
              <m:sub>
                <m:box>
                  <m:e>
                    <m:r>
                      <m:rPr>
                        <m:sty m:val="i"/>
                      </m:rPr>
                      <m:t>M</m:t>
                    </m:r>
                    <m:r>
                      <m:rPr>
                        <m:sty m:val="p"/>
                      </m:rPr>
                      <m:t>0</m:t>
                    </m:r>
                  </m:e>
                </m:box>
              </m:sub>
            </m:sSub>
          </m:e>
        </m:box>
      </m:oMath>
      <w:r>
        <w:rPr>
          <w:rFonts w:ascii="Times New Roman" w:hAnsi="Times New Roman" w:eastAsia="MS Mincho"/>
          <w:b w:val="0"/>
          <w:i w:val="0"/>
          <w:sz w:val="20"/>
        </w:rPr>
        <w:t xml:space="preserve">, it follows that </w:t>
      </w:r>
      <m:oMath xmlns:mml="http://www.w3.org/1998/Math/MathML">
        <m:box>
          <m:e>
            <m:r>
              <m:rPr>
                <m:sty m:val="i"/>
              </m:rPr>
              <m:t>T</m:t>
            </m:r>
            <m:r>
              <m:rPr>
                <m:sty m:val="i"/>
              </m:rPr>
              <m:t>F</m:t>
            </m:r>
            <m:sSub>
              <m:e>
                <m:r>
                  <m:rPr>
                    <m:sty m:val="i"/>
                  </m:rPr>
                  <m:t>P</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&gt; </w:t>
      </w:r>
      <m:oMath xmlns:mml="http://www.w3.org/1998/Math/MathML">
        <m:box>
          <m:e>
            <m:r>
              <m:rPr>
                <m:sty m:val="i"/>
              </m:rPr>
              <m:t>T</m:t>
            </m:r>
            <m:r>
              <m:rPr>
                <m:sty m:val="i"/>
              </m:rPr>
              <m:t>F</m:t>
            </m:r>
            <m:sSub>
              <m:e>
                <m:r>
                  <m:rPr>
                    <m:sty m:val="i"/>
                  </m:rPr>
                  <m:t>P</m:t>
                </m:r>
              </m:e>
              <m:sub>
                <m:box>
                  <m:e>
                    <m:r>
                      <m:rPr>
                        <m:sty m:val="i"/>
                      </m:rPr>
                      <m:t>M</m:t>
                    </m:r>
                    <m:r>
                      <m:rPr>
                        <m:sty m:val="p"/>
                      </m:rPr>
                      <m:t>0</m:t>
                    </m:r>
                  </m:e>
                </m:box>
              </m:sub>
            </m:sSub>
          </m:e>
        </m:box>
      </m:oMath>
      <w:r>
        <w:rPr>
          <w:rFonts w:ascii="Times New Roman" w:hAnsi="Times New Roman" w:eastAsia="MS Mincho"/>
          <w:b w:val="0"/>
          <w:i w:val="0"/>
          <w:sz w:val="20"/>
        </w:rPr>
        <w:t xml:space="preserve">: the standard PIM therefore </w:t>
      </w:r>
      <w:r>
        <w:rPr>
          <w:rFonts w:ascii="Times New Roman" w:hAnsi="Times New Roman" w:eastAsia="MS Mincho"/>
          <w:b w:val="0"/>
          <w:i/>
          <w:sz w:val="20"/>
        </w:rPr>
        <w:t>understates</w:t>
      </w:r>
      <w:r>
        <w:rPr>
          <w:rFonts w:ascii="Times New Roman" w:hAnsi="Times New Roman" w:eastAsia="MS Mincho"/>
          <w:b w:val="0"/>
          <w:i w:val="0"/>
          <w:sz w:val="20"/>
        </w:rPr>
        <w:t xml:space="preserve"> log-level TFP, with </w:t>
      </w:r>
      <m:oMath xmlns:mml="http://www.w3.org/1998/Math/MathML">
        <m:box>
          <m:e>
            <m:r>
              <m:rPr>
                <m:sty m:val="i"/>
              </m:rPr>
              <m:t>T</m:t>
            </m:r>
            <m:r>
              <m:rPr>
                <m:sty m:val="i"/>
              </m:rPr>
              <m:t>F</m:t>
            </m:r>
            <m:sSub>
              <m:e>
                <m:r>
                  <m:rPr>
                    <m:sty m:val="i"/>
                  </m:rPr>
                  <m:t>P</m:t>
                </m:r>
              </m:e>
              <m:sub>
                <m:box>
                  <m:e>
                    <m:r>
                      <m:rPr>
                        <m:sty m:val="i"/>
                      </m:rPr>
                      <m:t>M</m:t>
                    </m:r>
                    <m:r>
                      <m:rPr>
                        <m:sty m:val="p"/>
                      </m:rPr>
                      <m:t>0</m:t>
                    </m:r>
                  </m:e>
                </m:box>
              </m:sub>
            </m:sSub>
          </m:e>
        </m:box>
      </m:oMath>
      <w:r>
        <w:rPr>
          <w:rFonts w:ascii="Times New Roman" w:hAnsi="Times New Roman" w:eastAsia="MS Mincho"/>
          <w:b w:val="0"/>
          <w:i w:val="0"/>
          <w:sz w:val="20"/>
        </w:rPr>
        <w:t xml:space="preserve"> lying a median 1.7 percentage points below </w:t>
      </w:r>
      <m:oMath xmlns:mml="http://www.w3.org/1998/Math/MathML">
        <m:box>
          <m:e>
            <m:r>
              <m:rPr>
                <m:sty m:val="i"/>
              </m:rPr>
              <m:t>T</m:t>
            </m:r>
            <m:r>
              <m:rPr>
                <m:sty m:val="i"/>
              </m:rPr>
              <m:t>F</m:t>
            </m:r>
            <m:sSub>
              <m:e>
                <m:r>
                  <m:rPr>
                    <m:sty m:val="i"/>
                  </m:rPr>
                  <m:t>P</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(reported in Table 2 as a −1.7 pp shift). For Ireland the gap reaches 4.6 pp, meaning that nearly five percentage points of what the conventional Solow residual attributes to capital deepening is actually a tempo artefact. Figure 4 shows the country-level TFP shifts.</w:t>
      </w:r>
    </w:p>
    <w:p>
      <w:pPr>
        <w:spacing w:before="360" w:after="120"/>
        <w:jc w:val="center"/>
      </w:pPr>
      <w:r>
        <w:drawing>
          <wp:inline xmlns:a="http://schemas.openxmlformats.org/drawingml/2006/main" xmlns:pic="http://schemas.openxmlformats.org/drawingml/2006/picture">
            <wp:extent cx="5669280" cy="4205156"/>
            <wp:docPr id="4" name="Picture 4"/>
            <wp:cNvGraphicFramePr>
              <a:graphicFrameLocks noChangeAspect="1"/>
            </wp:cNvGraphicFramePr>
            <a:graphic>
              <a:graphicData uri="http://schemas.openxmlformats.org/drawingml/2006/picture">
                <pic:pic>
                  <pic:nvPicPr>
                    <pic:cNvPr id="0" name="fig11_tfp_consequence_en.png"/>
                    <pic:cNvPicPr/>
                  </pic:nvPicPr>
                  <pic:blipFill>
                    <a:blip r:embed="rId12"/>
                    <a:stretch>
                      <a:fillRect/>
                    </a:stretch>
                  </pic:blipFill>
                  <pic:spPr>
                    <a:xfrm>
                      <a:off x="0" y="0"/>
                      <a:ext cx="5669280" cy="4205156"/>
                    </a:xfrm>
                    <a:prstGeom prst="rect"/>
                  </pic:spPr>
                </pic:pic>
              </a:graphicData>
            </a:graphic>
          </wp:inline>
        </w:drawing>
      </w:r>
    </w:p>
    <w:p>
      <w:pPr>
        <w:spacing w:after="240"/>
        <w:jc w:val="center"/>
      </w:pPr>
      <w:r>
        <w:rPr>
          <w:rFonts w:ascii="Times New Roman" w:hAnsi="Times New Roman" w:eastAsia="MS Mincho"/>
          <w:b/>
          <w:i w:val="0"/>
          <w:sz w:val="20"/>
        </w:rPr>
        <w:t xml:space="preserve">Fig. 4. </w:t>
      </w:r>
      <w:r>
        <w:rPr>
          <w:rFonts w:ascii="Times New Roman" w:hAnsi="Times New Roman" w:eastAsia="MS Mincho"/>
          <w:b w:val="0"/>
          <w:i w:val="0"/>
          <w:sz w:val="20"/>
        </w:rPr>
        <w:t>Measurement consequence: K-level change vs log-level TFP shift (country means, 2010–2019).</w:t>
      </w:r>
    </w:p>
    <w:p>
      <w:pPr>
        <w:spacing w:after="120" w:line="360" w:lineRule="auto"/>
        <w:ind w:firstLine="480"/>
      </w:pPr>
      <m:oMath xmlns:mml="http://www.w3.org/1998/Math/MathML">
        <m:box>
          <m:e>
            <m:r>
              <m:rPr>
                <m:sty m:val="i"/>
              </m:rPr>
              <m:t>L</m:t>
            </m:r>
            <m:r>
              <m:rPr>
                <m:sty m:val="i"/>
              </m:rPr>
              <m:t>a</m:t>
            </m:r>
            <m:r>
              <m:rPr>
                <m:sty m:val="i"/>
              </m:rPr>
              <m:t>b</m:t>
            </m:r>
            <m:r>
              <m:rPr>
                <m:sty m:val="i"/>
              </m:rPr>
              <m:t>o</m:t>
            </m:r>
            <m:r>
              <m:rPr>
                <m:sty m:val="i"/>
              </m:rPr>
              <m:t>u</m:t>
            </m:r>
            <m:r>
              <m:rPr>
                <m:sty m:val="i"/>
              </m:rPr>
              <m:t>r</m:t>
            </m:r>
            <m:r>
              <m:rPr>
                <m:sty m:val="p"/>
              </m:rPr>
              <m:t>−</m:t>
            </m:r>
            <m:r>
              <m:rPr>
                <m:sty m:val="i"/>
              </m:rPr>
              <m:t>s</m:t>
            </m:r>
            <m:r>
              <m:rPr>
                <m:sty m:val="i"/>
              </m:rPr>
              <m:t>h</m:t>
            </m:r>
            <m:r>
              <m:rPr>
                <m:sty m:val="i"/>
              </m:rPr>
              <m:t>a</m:t>
            </m:r>
            <m:r>
              <m:rPr>
                <m:sty m:val="i"/>
              </m:rPr>
              <m:t>r</m:t>
            </m:r>
            <m:r>
              <m:rPr>
                <m:sty m:val="i"/>
              </m:rPr>
              <m:t>e</m:t>
            </m:r>
            <m:r>
              <m:rPr>
                <m:sty m:val="i"/>
              </m:rPr>
              <m:t>c</m:t>
            </m:r>
            <m:r>
              <m:rPr>
                <m:sty m:val="i"/>
              </m:rPr>
              <m:t>o</m:t>
            </m:r>
            <m:r>
              <m:rPr>
                <m:sty m:val="i"/>
              </m:rPr>
              <m:t>n</m:t>
            </m:r>
            <m:r>
              <m:rPr>
                <m:sty m:val="i"/>
              </m:rPr>
              <m:t>s</m:t>
            </m:r>
            <m:r>
              <m:rPr>
                <m:sty m:val="i"/>
              </m:rPr>
              <m:t>e</m:t>
            </m:r>
            <m:r>
              <m:rPr>
                <m:sty m:val="i"/>
              </m:rPr>
              <m:t>q</m:t>
            </m:r>
            <m:r>
              <m:rPr>
                <m:sty m:val="i"/>
              </m:rPr>
              <m:t>u</m:t>
            </m:r>
            <m:r>
              <m:rPr>
                <m:sty m:val="i"/>
              </m:rPr>
              <m:t>e</m:t>
            </m:r>
            <m:r>
              <m:rPr>
                <m:sty m:val="i"/>
              </m:rPr>
              <m:t>n</m:t>
            </m:r>
            <m:r>
              <m:rPr>
                <m:sty m:val="i"/>
              </m:rPr>
              <m:t>c</m:t>
            </m:r>
            <m:r>
              <m:rPr>
                <m:sty m:val="i"/>
              </m:rPr>
              <m:t>e</m:t>
            </m:r>
            <m:r>
              <m:rPr>
                <m:sty m:val="i"/>
              </m:rPr>
              <m:t>s</m:t>
            </m:r>
            <m:r>
              <m:rPr>
                <m:sty m:val="p"/>
              </m:rPr>
              <m:t>.</m:t>
            </m:r>
          </m:e>
        </m:box>
      </m:oMath>
      <w:r>
        <w:rPr>
          <w:rFonts w:ascii="Times New Roman" w:hAnsi="Times New Roman" w:eastAsia="MS Mincho"/>
          <w:b w:val="0"/>
          <w:i w:val="0"/>
          <w:sz w:val="20"/>
        </w:rPr>
        <w:t xml:space="preserve"> If the capital stock is overstated, the capital contribution </w:t>
      </w:r>
      <m:oMath xmlns:mml="http://www.w3.org/1998/Math/MathML">
        <m:box>
          <m:e>
            <m:r>
              <m:rPr>
                <m:sty m:val="i"/>
              </m:rPr>
              <m:t>α</m:t>
            </m:r>
          </m:e>
        </m:box>
      </m:oMath>
      <w:r>
        <w:rPr>
          <w:rFonts w:ascii="Times New Roman" w:hAnsi="Times New Roman" w:eastAsia="MS Mincho"/>
          <w:b w:val="0"/>
          <w:i w:val="0"/>
          <w:sz w:val="20"/>
        </w:rPr>
        <w:t xml:space="preserve"> log K absorbs variation that should be attributed to labour or TFP, mechanically depressing the residual labour share. Correcting K downward by </w:t>
      </w:r>
      <m:oMath xmlns:mml="http://www.w3.org/1998/Math/MathML">
        <m:box>
          <m:e>
            <m:r>
              <m:rPr>
                <m:sty m:val="i"/>
              </m:rPr>
              <m:t>δ</m:t>
            </m:r>
          </m:e>
        </m:box>
      </m:oMath>
      <w:r>
        <w:rPr>
          <w:rFonts w:ascii="Times New Roman" w:hAnsi="Times New Roman" w:eastAsia="MS Mincho"/>
          <w:b w:val="0"/>
          <w:i w:val="0"/>
          <w:sz w:val="20"/>
        </w:rPr>
        <w:t xml:space="preserve"> log K shifts the implied labour share upward by approximately </w:t>
      </w:r>
      <m:oMath xmlns:mml="http://www.w3.org/1998/Math/MathML">
        <m:box>
          <m:e>
            <m:r>
              <m:rPr>
                <m:sty m:val="i"/>
              </m:rPr>
              <m:t>α</m:t>
            </m:r>
            <m:r>
              <m:rPr>
                <m:sty m:val="i"/>
              </m:rPr>
              <m:t>×</m:t>
            </m:r>
          </m:e>
        </m:box>
      </m:oMath>
      <w:r>
        <w:rPr>
          <w:rFonts w:ascii="Times New Roman" w:hAnsi="Times New Roman" w:eastAsia="MS Mincho"/>
          <w:b w:val="0"/>
          <w:i w:val="0"/>
          <w:sz w:val="20"/>
        </w:rPr>
        <w:t xml:space="preserve"> |</w:t>
      </w:r>
      <m:oMath xmlns:mml="http://www.w3.org/1998/Math/MathML">
        <m:box>
          <m:e>
            <m:r>
              <m:rPr>
                <m:sty m:val="i"/>
              </m:rPr>
              <m:t>δ</m:t>
            </m:r>
          </m:e>
        </m:box>
      </m:oMath>
      <w:r>
        <w:rPr>
          <w:rFonts w:ascii="Times New Roman" w:hAnsi="Times New Roman" w:eastAsia="MS Mincho"/>
          <w:b w:val="0"/>
          <w:i w:val="0"/>
          <w:sz w:val="20"/>
        </w:rPr>
        <w:t xml:space="preserve"> log K| percentage points. The median upward shift is 1.7 pp (IQR: 1.4–2.7 pp; Figure 5). For the Republic of Korea the shift is 3.1 pp, for Israel 2.8 pp. These magnitudes are modest relative to the full secular decline in labour shares documented by Karabarbounis and Neiman (2014). The correction therefore cannot reverse the broader decline, but it can attenuate a portion of the measured fall: a fraction of the observed decline in labour shares may reflect a measurement artefact arising from the failure to account for investment gestation lags, alongside deeper structural forces such as globalisation, automation, and market power. We stress that this is an accounting reclassification, not a causal explanation.</w:t>
      </w:r>
    </w:p>
    <w:p>
      <w:pPr>
        <w:spacing w:before="360" w:after="120"/>
        <w:jc w:val="center"/>
      </w:pPr>
      <w:r>
        <w:drawing>
          <wp:inline xmlns:a="http://schemas.openxmlformats.org/drawingml/2006/main" xmlns:pic="http://schemas.openxmlformats.org/drawingml/2006/picture">
            <wp:extent cx="5669280" cy="2313765"/>
            <wp:docPr id="5" name="Picture 5"/>
            <wp:cNvGraphicFramePr>
              <a:graphicFrameLocks noChangeAspect="1"/>
            </wp:cNvGraphicFramePr>
            <a:graphic>
              <a:graphicData uri="http://schemas.openxmlformats.org/drawingml/2006/picture">
                <pic:pic>
                  <pic:nvPicPr>
                    <pic:cNvPr id="0" name="fig12_labor_share_en.png"/>
                    <pic:cNvPicPr/>
                  </pic:nvPicPr>
                  <pic:blipFill>
                    <a:blip r:embed="rId13"/>
                    <a:stretch>
                      <a:fillRect/>
                    </a:stretch>
                  </pic:blipFill>
                  <pic:spPr>
                    <a:xfrm>
                      <a:off x="0" y="0"/>
                      <a:ext cx="5669280" cy="2313765"/>
                    </a:xfrm>
                    <a:prstGeom prst="rect"/>
                  </pic:spPr>
                </pic:pic>
              </a:graphicData>
            </a:graphic>
          </wp:inline>
        </w:drawing>
      </w:r>
    </w:p>
    <w:p>
      <w:pPr>
        <w:spacing w:after="240"/>
        <w:jc w:val="center"/>
      </w:pPr>
      <w:r>
        <w:rPr>
          <w:rFonts w:ascii="Times New Roman" w:hAnsi="Times New Roman" w:eastAsia="MS Mincho"/>
          <w:b/>
          <w:i w:val="0"/>
          <w:sz w:val="20"/>
        </w:rPr>
        <w:t xml:space="preserve">Fig. 5. </w:t>
      </w:r>
      <w:r>
        <w:rPr>
          <w:rFonts w:ascii="Times New Roman" w:hAnsi="Times New Roman" w:eastAsia="MS Mincho"/>
          <w:b w:val="0"/>
          <w:i w:val="0"/>
          <w:sz w:val="20"/>
        </w:rPr>
        <w:t>Implied labour-share correction from tempo-adjusted capital (country means, 2010–2019).</w:t>
      </w:r>
    </w:p>
    <w:p>
      <w:pPr>
        <w:spacing w:after="120" w:line="360" w:lineRule="auto"/>
        <w:ind w:firstLine="480"/>
      </w:pPr>
      <m:oMath xmlns:mml="http://www.w3.org/1998/Math/MathML">
        <m:box>
          <m:e>
            <m:r>
              <m:rPr>
                <m:sty m:val="i"/>
              </m:rPr>
              <m:t>C</m:t>
            </m:r>
            <m:r>
              <m:rPr>
                <m:sty m:val="i"/>
              </m:rPr>
              <m:t>o</m:t>
            </m:r>
            <m:r>
              <m:rPr>
                <m:sty m:val="i"/>
              </m:rPr>
              <m:t>u</m:t>
            </m:r>
            <m:r>
              <m:rPr>
                <m:sty m:val="i"/>
              </m:rPr>
              <m:t>n</m:t>
            </m:r>
            <m:r>
              <m:rPr>
                <m:sty m:val="i"/>
              </m:rPr>
              <m:t>t</m:t>
            </m:r>
            <m:r>
              <m:rPr>
                <m:sty m:val="i"/>
              </m:rPr>
              <m:t>e</m:t>
            </m:r>
            <m:r>
              <m:rPr>
                <m:sty m:val="i"/>
              </m:rPr>
              <m:t>r</m:t>
            </m:r>
            <m:r>
              <m:rPr>
                <m:sty m:val="i"/>
              </m:rPr>
              <m:t>f</m:t>
            </m:r>
            <m:r>
              <m:rPr>
                <m:sty m:val="i"/>
              </m:rPr>
              <m:t>a</m:t>
            </m:r>
            <m:r>
              <m:rPr>
                <m:sty m:val="i"/>
              </m:rPr>
              <m:t>c</m:t>
            </m:r>
            <m:r>
              <m:rPr>
                <m:sty m:val="i"/>
              </m:rPr>
              <m:t>t</m:t>
            </m:r>
            <m:r>
              <m:rPr>
                <m:sty m:val="i"/>
              </m:rPr>
              <m:t>u</m:t>
            </m:r>
            <m:r>
              <m:rPr>
                <m:sty m:val="i"/>
              </m:rPr>
              <m:t>a</m:t>
            </m:r>
            <m:r>
              <m:rPr>
                <m:sty m:val="i"/>
              </m:rPr>
              <m:t>l</m:t>
            </m:r>
            <m:r>
              <m:rPr>
                <m:sty m:val="i"/>
              </m:rPr>
              <m:t>p</m:t>
            </m:r>
            <m:r>
              <m:rPr>
                <m:sty m:val="i"/>
              </m:rPr>
              <m:t>r</m:t>
            </m:r>
            <m:r>
              <m:rPr>
                <m:sty m:val="i"/>
              </m:rPr>
              <m:t>o</m:t>
            </m:r>
            <m:r>
              <m:rPr>
                <m:sty m:val="i"/>
              </m:rPr>
              <m:t>d</m:t>
            </m:r>
            <m:r>
              <m:rPr>
                <m:sty m:val="i"/>
              </m:rPr>
              <m:t>u</m:t>
            </m:r>
            <m:r>
              <m:rPr>
                <m:sty m:val="i"/>
              </m:rPr>
              <m:t>c</m:t>
            </m:r>
            <m:r>
              <m:rPr>
                <m:sty m:val="i"/>
              </m:rPr>
              <m:t>e</m:t>
            </m:r>
            <m:r>
              <m:rPr>
                <m:sty m:val="i"/>
              </m:rPr>
              <m:t>d</m:t>
            </m:r>
            <m:r>
              <m:rPr>
                <m:sty m:val="p"/>
              </m:rPr>
              <m:t>−</m:t>
            </m:r>
            <m:r>
              <m:rPr>
                <m:sty m:val="i"/>
              </m:rPr>
              <m:t>c</m:t>
            </m:r>
            <m:r>
              <m:rPr>
                <m:sty m:val="i"/>
              </m:rPr>
              <m:t>a</m:t>
            </m:r>
            <m:r>
              <m:rPr>
                <m:sty m:val="i"/>
              </m:rPr>
              <m:t>p</m:t>
            </m:r>
            <m:r>
              <m:rPr>
                <m:sty m:val="i"/>
              </m:rPr>
              <m:t>i</m:t>
            </m:r>
            <m:r>
              <m:rPr>
                <m:sty m:val="i"/>
              </m:rPr>
              <m:t>t</m:t>
            </m:r>
            <m:r>
              <m:rPr>
                <m:sty m:val="i"/>
              </m:rPr>
              <m:t>a</m:t>
            </m:r>
            <m:r>
              <m:rPr>
                <m:sty m:val="i"/>
              </m:rPr>
              <m:t>l</m:t>
            </m:r>
            <m:r>
              <m:rPr>
                <m:sty m:val="i"/>
              </m:rPr>
              <m:t>r</m:t>
            </m:r>
            <m:r>
              <m:rPr>
                <m:sty m:val="i"/>
              </m:rPr>
              <m:t>e</m:t>
            </m:r>
            <m:r>
              <m:rPr>
                <m:sty m:val="i"/>
              </m:rPr>
              <m:t>v</m:t>
            </m:r>
            <m:r>
              <m:rPr>
                <m:sty m:val="i"/>
              </m:rPr>
              <m:t>a</m:t>
            </m:r>
            <m:r>
              <m:rPr>
                <m:sty m:val="i"/>
              </m:rPr>
              <m:t>l</m:t>
            </m:r>
            <m:r>
              <m:rPr>
                <m:sty m:val="i"/>
              </m:rPr>
              <m:t>u</m:t>
            </m:r>
            <m:r>
              <m:rPr>
                <m:sty m:val="i"/>
              </m:rPr>
              <m:t>a</m:t>
            </m:r>
            <m:r>
              <m:rPr>
                <m:sty m:val="i"/>
              </m:rPr>
              <m:t>t</m:t>
            </m:r>
            <m:r>
              <m:rPr>
                <m:sty m:val="i"/>
              </m:rPr>
              <m:t>i</m:t>
            </m:r>
            <m:r>
              <m:rPr>
                <m:sty m:val="i"/>
              </m:rPr>
              <m:t>o</m:t>
            </m:r>
            <m:r>
              <m:rPr>
                <m:sty m:val="i"/>
              </m:rPr>
              <m:t>n</m:t>
            </m:r>
            <m:r>
              <m:rPr>
                <m:sty m:val="p"/>
              </m:rPr>
              <m:t>.</m:t>
            </m:r>
          </m:e>
        </m:box>
      </m:oMath>
      <w:r>
        <w:rPr>
          <w:rFonts w:ascii="Times New Roman" w:hAnsi="Times New Roman" w:eastAsia="MS Mincho"/>
          <w:b w:val="0"/>
          <w:i w:val="0"/>
          <w:sz w:val="20"/>
        </w:rPr>
        <w:t xml:space="preserve"> A mechanical imputation of the joint-identified intangible share </w:t>
      </w:r>
      <m:oMath xmlns:mml="http://www.w3.org/1998/Math/MathML">
        <m:box>
          <m:e>
            <m:r>
              <m:rPr>
                <m:sty m:val="i"/>
              </m:rPr>
              <m:t>β</m:t>
            </m:r>
          </m:e>
        </m:box>
      </m:oMath>
      <w:r>
        <w:rPr>
          <w:rFonts w:ascii="Times New Roman" w:hAnsi="Times New Roman" w:eastAsia="MS Mincho"/>
          <w:b w:val="0"/>
          <w:i w:val="0"/>
          <w:sz w:val="20"/>
        </w:rPr>
        <w:t xml:space="preserve"> into official produced-capital accounts is reported in the Supporting Information (Supplementary Table 4 and Supplementary Figure 9); the implied adjustments are below 1.1 % of produced capital for all countries.</w:t>
      </w:r>
    </w:p>
    <w:p>
      <w:pPr>
        <w:spacing w:before="360" w:after="120" w:line="360" w:lineRule="auto"/>
        <w:ind w:firstLine="0"/>
        <w:jc w:val="left"/>
      </w:pPr>
      <w:r>
        <w:rPr>
          <w:rFonts w:ascii="Times New Roman" w:hAnsi="Times New Roman" w:eastAsia="MS Mincho"/>
          <w:b/>
          <w:i w:val="0"/>
          <w:sz w:val="24"/>
        </w:rPr>
        <w:t>5.5 Solow-residual variance decomposition</w:t>
      </w:r>
    </w:p>
    <w:p>
      <w:pPr>
        <w:spacing w:after="120" w:line="360" w:lineRule="auto"/>
        <w:ind w:firstLine="480"/>
      </w:pPr>
      <w:r>
        <w:rPr>
          <w:rFonts w:ascii="Times New Roman" w:hAnsi="Times New Roman" w:eastAsia="MS Mincho"/>
          <w:b w:val="0"/>
          <w:i w:val="0"/>
          <w:sz w:val="20"/>
        </w:rPr>
        <w:t xml:space="preserve">The TFP variance decomposition complements the level analysis of Sect. 5.4. Under M0 the residual is log A₀(t) = log Y − </w:t>
      </w:r>
      <m:oMath xmlns:mml="http://www.w3.org/1998/Math/MathML">
        <m:box>
          <m:e>
            <m:r>
              <m:rPr>
                <m:sty m:val="i"/>
              </m:rPr>
              <m:t>α</m:t>
            </m:r>
          </m:e>
        </m:box>
      </m:oMath>
      <w:r>
        <w:rPr>
          <w:rFonts w:ascii="Times New Roman" w:hAnsi="Times New Roman" w:eastAsia="MS Mincho"/>
          <w:b w:val="0"/>
          <w:i w:val="0"/>
          <w:sz w:val="20"/>
        </w:rPr>
        <w:t xml:space="preserve"> log K₀ − (1 − </w:t>
      </w:r>
      <m:oMath xmlns:mml="http://www.w3.org/1998/Math/MathML">
        <m:box>
          <m:e>
            <m:r>
              <m:rPr>
                <m:sty m:val="i"/>
              </m:rPr>
              <m:t>α</m:t>
            </m:r>
          </m:e>
        </m:box>
      </m:oMath>
      <w:r>
        <w:rPr>
          <w:rFonts w:ascii="Times New Roman" w:hAnsi="Times New Roman" w:eastAsia="MS Mincho"/>
          <w:b w:val="0"/>
          <w:i w:val="0"/>
          <w:sz w:val="20"/>
        </w:rPr>
        <w:t xml:space="preserve">) log LH, where K₀ is the instant PIM stock. Under M2 and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the residual is computed using the tempo-corrected stocks K₂ and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 The difference in growth-rate variance measures how much TFP-growth variation is absorbed by the correction. Across the 39 countries, the median variance reduction attributable to tempo drift alone (M0 → M2) is 1.7 %, but it exceeds 8 % in several economies and reaches 13.8 % for New Zealand. The joint correction (M0 → M4) achieves a median reduction of 0.1 %, with France (29.7 %), Luxembourg (14.6 %), Italy (11.0 %), and the Netherlands (10.7 %) showing the largest shifts (Supplementary Table 5).</w:t>
      </w:r>
    </w:p>
    <w:p>
      <w:pPr>
        <w:spacing w:after="120" w:line="360" w:lineRule="auto"/>
        <w:ind w:firstLine="480"/>
      </w:pPr>
      <w:r>
        <w:rPr>
          <w:rFonts w:ascii="Times New Roman" w:hAnsi="Times New Roman" w:eastAsia="MS Mincho"/>
          <w:b w:val="0"/>
          <w:i w:val="0"/>
          <w:sz w:val="20"/>
        </w:rPr>
        <w:t>The Supporting Information translates these reductions into concrete historical episodes and plots the corresponding TFP paths (Supplementary Table 3, Supplementary Figure 2).</w:t>
      </w:r>
    </w:p>
    <w:p>
      <w:pPr>
        <w:spacing w:before="360" w:after="120" w:line="360" w:lineRule="auto"/>
        <w:ind w:firstLine="0"/>
        <w:jc w:val="left"/>
      </w:pPr>
      <w:r>
        <w:rPr>
          <w:rFonts w:ascii="Times New Roman" w:hAnsi="Times New Roman" w:eastAsia="MS Mincho"/>
          <w:b/>
          <w:i w:val="0"/>
          <w:sz w:val="24"/>
        </w:rPr>
        <w:t>6 Discussion</w:t>
      </w:r>
    </w:p>
    <w:p>
      <w:pPr>
        <w:spacing w:after="120" w:line="360" w:lineRule="auto"/>
        <w:ind w:firstLine="480"/>
      </w:pPr>
      <w:r>
        <w:rPr>
          <w:rFonts w:ascii="Times New Roman" w:hAnsi="Times New Roman" w:eastAsia="MS Mincho"/>
          <w:b w:val="0"/>
          <w:i w:val="0"/>
          <w:sz w:val="20"/>
        </w:rPr>
        <w:t>The tempo drift and intangible corrections developed above bear on how capital, productivity, and the labour share are measured, and on how the flow-side and stock-side national accounts relate to each other. We structure the discussion around five themes.</w:t>
      </w:r>
    </w:p>
    <w:p>
      <w:pPr>
        <w:spacing w:before="360" w:after="120" w:line="360" w:lineRule="auto"/>
        <w:ind w:firstLine="0"/>
        <w:jc w:val="left"/>
      </w:pPr>
      <w:r>
        <w:rPr>
          <w:rFonts w:ascii="Times New Roman" w:hAnsi="Times New Roman" w:eastAsia="MS Mincho"/>
          <w:b/>
          <w:i w:val="0"/>
          <w:sz w:val="24"/>
        </w:rPr>
        <w:t>6.1 Re-interpreting the Solow residual</w:t>
      </w:r>
    </w:p>
    <w:p>
      <w:pPr>
        <w:spacing w:after="120" w:line="360" w:lineRule="auto"/>
        <w:ind w:firstLine="480"/>
      </w:pPr>
      <w:r>
        <w:rPr>
          <w:rFonts w:ascii="Times New Roman" w:hAnsi="Times New Roman" w:eastAsia="MS Mincho"/>
          <w:b w:val="0"/>
          <w:i w:val="0"/>
          <w:sz w:val="20"/>
        </w:rPr>
        <w:t xml:space="preserve">The K-level analysis of Sect. 5.4 and the variance decomposition of Sect. 5.5 put a number on the long-standing suspicion that the Solow residual conflates genuine innovation with capital-stock mismeasurement. Under M0 (instant PIM, </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xml:space="preserve">) any mis-specification in the timing or composition of capital flows through directly into TFP and is then interpreted as innovation. We show that a measurable share of Solow-residual growth variation across our 35 countries can be re-assigned to two accounting corrections that need not be interpreted as innovation: the time-to-build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and the intangible share </w:t>
      </w:r>
      <m:oMath xmlns:mml="http://www.w3.org/1998/Math/MathML">
        <m:box>
          <m:e>
            <m:r>
              <m:rPr>
                <m:sty m:val="i"/>
              </m:rPr>
              <m:t>β</m:t>
            </m:r>
            <m:r>
              <m:rPr>
                <m:sty m:val="p"/>
              </m:rPr>
              <m:t>.</m:t>
            </m:r>
          </m:e>
        </m:box>
      </m:oMath>
      <w:r>
        <w:rPr>
          <w:rFonts w:ascii="Times New Roman" w:hAnsi="Times New Roman" w:eastAsia="MS Mincho"/>
          <w:b w:val="0"/>
          <w:i w:val="0"/>
          <w:sz w:val="20"/>
        </w:rPr>
        <w:t xml:space="preserve"> This is not a claim that innovation is unimportant; it is a claim that the accounting should be done before any residual interpretation.</w:t>
      </w:r>
    </w:p>
    <w:p>
      <w:pPr>
        <w:spacing w:before="360" w:after="120" w:line="360" w:lineRule="auto"/>
        <w:ind w:firstLine="0"/>
        <w:jc w:val="left"/>
      </w:pPr>
      <w:r>
        <w:rPr>
          <w:rFonts w:ascii="Times New Roman" w:hAnsi="Times New Roman" w:eastAsia="MS Mincho"/>
          <w:b/>
          <w:i w:val="0"/>
          <w:sz w:val="24"/>
        </w:rPr>
        <w:t>6.2 The demographic tempo analogy</w:t>
      </w:r>
    </w:p>
    <w:p>
      <w:pPr>
        <w:spacing w:after="120" w:line="360" w:lineRule="auto"/>
        <w:ind w:firstLine="480"/>
      </w:pPr>
      <w:r>
        <w:rPr>
          <w:rFonts w:ascii="Times New Roman" w:hAnsi="Times New Roman" w:eastAsia="MS Mincho"/>
          <w:b w:val="0"/>
          <w:i w:val="0"/>
          <w:sz w:val="20"/>
        </w:rPr>
        <w:t>Supplementary Table 1 established that period-fertility analysts already solved the problem of measuring a stock process from its flow when the flow is contaminated by drift in the timing distribution. Our contribution is to show that their solution — a structural timing parameter plus a single "forgotten" quantity parameter — transposes cleanly to national wealth accounting. This is not metaphor. Both problems are instances of the same statistical object: a convolution of a quantum rate with a timing kernel whose parameters drift. The same Bongaarts and Feeney (1998) adjustment works, up to a change of units.</w:t>
      </w:r>
    </w:p>
    <w:p>
      <w:pPr>
        <w:spacing w:after="120" w:line="360" w:lineRule="auto"/>
        <w:ind w:firstLine="480"/>
      </w:pPr>
      <w:r>
        <w:rPr>
          <w:rFonts w:ascii="Times New Roman" w:hAnsi="Times New Roman" w:eastAsia="MS Mincho"/>
          <w:b w:val="0"/>
          <w:i w:val="0"/>
          <w:sz w:val="20"/>
        </w:rPr>
        <w:t xml:space="preserve">At the most conservative level, the results of Sect. 5 show that a </w:t>
      </w:r>
      <w:r>
        <w:rPr>
          <w:rFonts w:ascii="Times New Roman" w:hAnsi="Times New Roman" w:eastAsia="MS Mincho"/>
          <w:b w:val="0"/>
          <w:i/>
          <w:sz w:val="20"/>
        </w:rPr>
        <w:t>fraction</w:t>
      </w:r>
      <w:r>
        <w:rPr>
          <w:rFonts w:ascii="Times New Roman" w:hAnsi="Times New Roman" w:eastAsia="MS Mincho"/>
          <w:b w:val="0"/>
          <w:i w:val="0"/>
          <w:sz w:val="20"/>
        </w:rPr>
        <w:t xml:space="preserve"> of what we have been calling TFP growth is a bookkeeping artefact that disappears once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and </w:t>
      </w:r>
      <m:oMath xmlns:mml="http://www.w3.org/1998/Math/MathML">
        <m:box>
          <m:e>
            <m:r>
              <m:rPr>
                <m:sty m:val="i"/>
              </m:rPr>
              <m:t>β</m:t>
            </m:r>
          </m:e>
        </m:box>
      </m:oMath>
      <w:r>
        <w:rPr>
          <w:rFonts w:ascii="Times New Roman" w:hAnsi="Times New Roman" w:eastAsia="MS Mincho"/>
          <w:b w:val="0"/>
          <w:i w:val="0"/>
          <w:sz w:val="20"/>
        </w:rPr>
        <w:t xml:space="preserve"> are jointly estimated. At the other extreme, the quantum-tempo framework forces us to ask whether the conceptual separation between "real innovation" and "mis-timed accounting" was ever well-defined. If the typical investment has a longer gestation period in 2019 than in 1995 — plausibly because the share of assets whose productive deployment requires software integration, regulatory approval, and network complementarities has risen — then the accounting correction </w:t>
      </w:r>
      <w:r>
        <w:rPr>
          <w:rFonts w:ascii="Times New Roman" w:hAnsi="Times New Roman" w:eastAsia="MS Mincho"/>
          <w:b w:val="0"/>
          <w:i/>
          <w:sz w:val="20"/>
        </w:rPr>
        <w:t>is</w:t>
      </w:r>
      <w:r>
        <w:rPr>
          <w:rFonts w:ascii="Times New Roman" w:hAnsi="Times New Roman" w:eastAsia="MS Mincho"/>
          <w:b w:val="0"/>
          <w:i w:val="0"/>
          <w:sz w:val="20"/>
        </w:rPr>
        <w:t xml:space="preserve"> an economic statement about the changing composition of capital. The boundary between "pure accounting" and "pure innovation" is therefore porous. Our position is that the two categories should be treated symmetrically, with the same parametric machinery, rather than with the asymmetric treatment implicit in M0 that has dominated a half-century of growth accounting.</w:t>
      </w:r>
    </w:p>
    <w:p>
      <w:pPr>
        <w:spacing w:before="360" w:after="120" w:line="360" w:lineRule="auto"/>
        <w:ind w:firstLine="0"/>
        <w:jc w:val="left"/>
      </w:pPr>
      <w:r>
        <w:rPr>
          <w:rFonts w:ascii="Times New Roman" w:hAnsi="Times New Roman" w:eastAsia="MS Mincho"/>
          <w:b/>
          <w:i w:val="0"/>
          <w:sz w:val="24"/>
        </w:rPr>
        <w:t>6.3 Identification strategy and credibility</w:t>
      </w:r>
    </w:p>
    <w:p>
      <w:pPr>
        <w:spacing w:after="120" w:line="360" w:lineRule="auto"/>
        <w:ind w:firstLine="480"/>
      </w:pPr>
      <w:r>
        <w:rPr>
          <w:rFonts w:ascii="Times New Roman" w:hAnsi="Times New Roman" w:eastAsia="MS Mincho"/>
          <w:b w:val="0"/>
          <w:i w:val="0"/>
          <w:sz w:val="20"/>
        </w:rPr>
        <w:t xml:space="preserve">A natural objection is that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and </w:t>
      </w:r>
      <m:oMath xmlns:mml="http://www.w3.org/1998/Math/MathML">
        <m:box>
          <m:e>
            <m:r>
              <m:rPr>
                <m:sty m:val="i"/>
              </m:rPr>
              <m:t>β</m:t>
            </m:r>
          </m:e>
        </m:box>
      </m:oMath>
      <w:r>
        <w:rPr>
          <w:rFonts w:ascii="Times New Roman" w:hAnsi="Times New Roman" w:eastAsia="MS Mincho"/>
          <w:b w:val="0"/>
          <w:i w:val="0"/>
          <w:sz w:val="20"/>
        </w:rPr>
        <w:t xml:space="preserve"> may not be separately identified from the production-side data alone: a higher lag </w:t>
      </w:r>
      <m:oMath xmlns:mml="http://www.w3.org/1998/Math/MathML">
        <m:box>
          <m:e>
            <m:r>
              <m:rPr>
                <m:sty m:val="i"/>
              </m:rPr>
              <m:t>μ</m:t>
            </m:r>
          </m:e>
        </m:box>
      </m:oMath>
      <w:r>
        <w:rPr>
          <w:rFonts w:ascii="Times New Roman" w:hAnsi="Times New Roman" w:eastAsia="MS Mincho"/>
          <w:b w:val="0"/>
          <w:i w:val="0"/>
          <w:sz w:val="20"/>
        </w:rPr>
        <w:t xml:space="preserve"> slows measured capital accumulation in much the same way as a lower intangible share </w:t>
      </w:r>
      <m:oMath xmlns:mml="http://www.w3.org/1998/Math/MathML">
        <m:box>
          <m:e>
            <m:r>
              <m:rPr>
                <m:sty m:val="i"/>
              </m:rPr>
              <m:t>β</m:t>
            </m:r>
            <m:r>
              <m:rPr>
                <m:sty m:val="p"/>
              </m:rPr>
              <m:t>.</m:t>
            </m:r>
          </m:e>
        </m:box>
      </m:oMath>
      <w:r>
        <w:rPr>
          <w:rFonts w:ascii="Times New Roman" w:hAnsi="Times New Roman" w:eastAsia="MS Mincho"/>
          <w:b w:val="0"/>
          <w:i w:val="0"/>
          <w:sz w:val="20"/>
        </w:rPr>
        <w:t xml:space="preserve"> Our identification strategy relies on three distinct sources of variation, each of which resolves a different dimension of the parameter space.</w:t>
      </w:r>
    </w:p>
    <w:p>
      <w:pPr>
        <w:spacing w:after="120" w:line="360" w:lineRule="auto"/>
        <w:ind w:firstLine="480"/>
      </w:pPr>
      <m:oMath xmlns:mml="http://www.w3.org/1998/Math/MathML">
        <m:box>
          <m:e>
            <m:r>
              <m:rPr>
                <m:sty m:val="i"/>
              </m:rPr>
              <m:t>F</m:t>
            </m:r>
            <m:r>
              <m:rPr>
                <m:sty m:val="i"/>
              </m:rPr>
              <m:t>i</m:t>
            </m:r>
            <m:r>
              <m:rPr>
                <m:sty m:val="i"/>
              </m:rPr>
              <m:t>r</m:t>
            </m:r>
            <m:r>
              <m:rPr>
                <m:sty m:val="i"/>
              </m:rPr>
              <m:t>s</m:t>
            </m:r>
            <m:r>
              <m:rPr>
                <m:sty m:val="i"/>
              </m:rPr>
              <m:t>t</m:t>
            </m:r>
            <m:r>
              <m:rPr>
                <m:sty m:val="p"/>
              </m:rPr>
              <m:t>,</m:t>
            </m:r>
            <m:r>
              <m:rPr>
                <m:sty m:val="i"/>
              </m:rPr>
              <m:t>t</m:t>
            </m:r>
            <m:r>
              <m:rPr>
                <m:sty m:val="i"/>
              </m:rPr>
              <m:t>h</m:t>
            </m:r>
            <m:r>
              <m:rPr>
                <m:sty m:val="i"/>
              </m:rPr>
              <m:t>e</m:t>
            </m:r>
            <m:r>
              <m:rPr>
                <m:sty m:val="i"/>
              </m:rPr>
              <m:t>w</m:t>
            </m:r>
            <m:r>
              <m:rPr>
                <m:sty m:val="i"/>
              </m:rPr>
              <m:t>e</m:t>
            </m:r>
            <m:r>
              <m:rPr>
                <m:sty m:val="i"/>
              </m:rPr>
              <m:t>a</m:t>
            </m:r>
            <m:r>
              <m:rPr>
                <m:sty m:val="i"/>
              </m:rPr>
              <m:t>l</m:t>
            </m:r>
            <m:r>
              <m:rPr>
                <m:sty m:val="i"/>
              </m:rPr>
              <m:t>t</m:t>
            </m:r>
            <m:r>
              <m:rPr>
                <m:sty m:val="i"/>
              </m:rPr>
              <m:t>h</m:t>
            </m:r>
            <m:r>
              <m:rPr>
                <m:sty m:val="p"/>
              </m:rPr>
              <m:t>−</m:t>
            </m:r>
            <m:r>
              <m:rPr>
                <m:sty m:val="i"/>
              </m:rPr>
              <m:t>s</m:t>
            </m:r>
            <m:r>
              <m:rPr>
                <m:sty m:val="i"/>
              </m:rPr>
              <m:t>i</m:t>
            </m:r>
            <m:r>
              <m:rPr>
                <m:sty m:val="i"/>
              </m:rPr>
              <m:t>d</m:t>
            </m:r>
            <m:r>
              <m:rPr>
                <m:sty m:val="i"/>
              </m:rPr>
              <m:t>e</m:t>
            </m:r>
            <m:r>
              <m:rPr>
                <m:sty m:val="i"/>
              </m:rPr>
              <m:t>c</m:t>
            </m:r>
            <m:r>
              <m:rPr>
                <m:sty m:val="i"/>
              </m:rPr>
              <m:t>o</m:t>
            </m:r>
            <m:r>
              <m:rPr>
                <m:sty m:val="i"/>
              </m:rPr>
              <m:t>n</m:t>
            </m:r>
            <m:r>
              <m:rPr>
                <m:sty m:val="i"/>
              </m:rPr>
              <m:t>s</m:t>
            </m:r>
            <m:r>
              <m:rPr>
                <m:sty m:val="i"/>
              </m:rPr>
              <m:t>t</m:t>
            </m:r>
            <m:r>
              <m:rPr>
                <m:sty m:val="i"/>
              </m:rPr>
              <m:t>r</m:t>
            </m:r>
            <m:r>
              <m:rPr>
                <m:sty m:val="i"/>
              </m:rPr>
              <m:t>a</m:t>
            </m:r>
            <m:r>
              <m:rPr>
                <m:sty m:val="i"/>
              </m:rPr>
              <m:t>i</m:t>
            </m:r>
            <m:r>
              <m:rPr>
                <m:sty m:val="i"/>
              </m:rPr>
              <m:t>n</m:t>
            </m:r>
            <m:r>
              <m:rPr>
                <m:sty m:val="i"/>
              </m:rPr>
              <m:t>t</m:t>
            </m:r>
            <m:r>
              <m:rPr>
                <m:sty m:val="p"/>
              </m:rPr>
              <m:t>.</m:t>
            </m:r>
          </m:e>
        </m:box>
      </m:oMath>
      <w:r>
        <w:rPr>
          <w:rFonts w:ascii="Times New Roman" w:hAnsi="Times New Roman" w:eastAsia="MS Mincho"/>
          <w:b w:val="0"/>
          <w:i w:val="0"/>
          <w:sz w:val="20"/>
        </w:rPr>
        <w:t xml:space="preserve"> The joint loss (2) simultaneously penalises production-side growth-rate residuals and wealth-side trajectory deviations. Because CWON produced capital NW.PCA.TO is an independent measurement — compiled from national balance sheets with their own asset-life assumptions, revaluation conventions, and depreciation schedules — the wealth constraint provides an external discipline that the production residuals alone cannot. The bootstrap evidence in Sect. 5.4 quantifies this: production-side residuals alone leave the 95 % region in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space as a broad ridge for most countries; adding the wealth constraint tightens the joint intervals and narrows the ridge for the majority of countries. The associated objective surfaces are informative here: evaluated on the estimation grid, the joint objective is less flat than the production-only objective in a majority of countries, though a minority — typically those with thin CWON coverage — retain a broad ridge even under the joint criterion, and we flag those countries accordingly.</w:t>
      </w:r>
    </w:p>
    <w:p>
      <w:pPr>
        <w:spacing w:after="120" w:line="360" w:lineRule="auto"/>
        <w:ind w:firstLine="480"/>
      </w:pPr>
      <m:oMath xmlns:mml="http://www.w3.org/1998/Math/MathML">
        <m:box>
          <m:e>
            <m:r>
              <m:rPr>
                <m:sty m:val="i"/>
              </m:rPr>
              <m:t>S</m:t>
            </m:r>
            <m:r>
              <m:rPr>
                <m:sty m:val="i"/>
              </m:rPr>
              <m:t>e</m:t>
            </m:r>
            <m:r>
              <m:rPr>
                <m:sty m:val="i"/>
              </m:rPr>
              <m:t>c</m:t>
            </m:r>
            <m:r>
              <m:rPr>
                <m:sty m:val="i"/>
              </m:rPr>
              <m:t>o</m:t>
            </m:r>
            <m:r>
              <m:rPr>
                <m:sty m:val="i"/>
              </m:rPr>
              <m:t>n</m:t>
            </m:r>
            <m:r>
              <m:rPr>
                <m:sty m:val="i"/>
              </m:rPr>
              <m:t>d</m:t>
            </m:r>
            <m:r>
              <m:rPr>
                <m:sty m:val="p"/>
              </m:rPr>
              <m:t>,</m:t>
            </m:r>
            <m:r>
              <m:rPr>
                <m:sty m:val="i"/>
              </m:rPr>
              <m:t>c</m:t>
            </m:r>
            <m:r>
              <m:rPr>
                <m:sty m:val="i"/>
              </m:rPr>
              <m:t>r</m:t>
            </m:r>
            <m:r>
              <m:rPr>
                <m:sty m:val="i"/>
              </m:rPr>
              <m:t>o</m:t>
            </m:r>
            <m:r>
              <m:rPr>
                <m:sty m:val="i"/>
              </m:rPr>
              <m:t>s</m:t>
            </m:r>
            <m:r>
              <m:rPr>
                <m:sty m:val="i"/>
              </m:rPr>
              <m:t>s</m:t>
            </m:r>
            <m:r>
              <m:rPr>
                <m:sty m:val="p"/>
              </m:rPr>
              <m:t>−</m:t>
            </m:r>
            <m:r>
              <m:rPr>
                <m:sty m:val="i"/>
              </m:rPr>
              <m:t>c</m:t>
            </m:r>
            <m:r>
              <m:rPr>
                <m:sty m:val="i"/>
              </m:rPr>
              <m:t>o</m:t>
            </m:r>
            <m:r>
              <m:rPr>
                <m:sty m:val="i"/>
              </m:rPr>
              <m:t>u</m:t>
            </m:r>
            <m:r>
              <m:rPr>
                <m:sty m:val="i"/>
              </m:rPr>
              <m:t>n</m:t>
            </m:r>
            <m:r>
              <m:rPr>
                <m:sty m:val="i"/>
              </m:rPr>
              <m:t>t</m:t>
            </m:r>
            <m:r>
              <m:rPr>
                <m:sty m:val="i"/>
              </m:rPr>
              <m:t>r</m:t>
            </m:r>
            <m:r>
              <m:rPr>
                <m:sty m:val="i"/>
              </m:rPr>
              <m:t>y</m:t>
            </m:r>
            <m:r>
              <m:rPr>
                <m:sty m:val="i"/>
              </m:rPr>
              <m:t>h</m:t>
            </m:r>
            <m:r>
              <m:rPr>
                <m:sty m:val="i"/>
              </m:rPr>
              <m:t>e</m:t>
            </m:r>
            <m:r>
              <m:rPr>
                <m:sty m:val="i"/>
              </m:rPr>
              <m:t>t</m:t>
            </m:r>
            <m:r>
              <m:rPr>
                <m:sty m:val="i"/>
              </m:rPr>
              <m:t>e</m:t>
            </m:r>
            <m:r>
              <m:rPr>
                <m:sty m:val="i"/>
              </m:rPr>
              <m:t>r</m:t>
            </m:r>
            <m:r>
              <m:rPr>
                <m:sty m:val="i"/>
              </m:rPr>
              <m:t>o</m:t>
            </m:r>
            <m:r>
              <m:rPr>
                <m:sty m:val="i"/>
              </m:rPr>
              <m:t>g</m:t>
            </m:r>
            <m:r>
              <m:rPr>
                <m:sty m:val="i"/>
              </m:rPr>
              <m:t>e</m:t>
            </m:r>
            <m:r>
              <m:rPr>
                <m:sty m:val="i"/>
              </m:rPr>
              <m:t>n</m:t>
            </m:r>
            <m:r>
              <m:rPr>
                <m:sty m:val="i"/>
              </m:rPr>
              <m:t>e</m:t>
            </m:r>
            <m:r>
              <m:rPr>
                <m:sty m:val="i"/>
              </m:rPr>
              <m:t>i</m:t>
            </m:r>
            <m:r>
              <m:rPr>
                <m:sty m:val="i"/>
              </m:rPr>
              <m:t>t</m:t>
            </m:r>
            <m:r>
              <m:rPr>
                <m:sty m:val="i"/>
              </m:rPr>
              <m:t>y</m:t>
            </m:r>
            <m:r>
              <m:rPr>
                <m:sty m:val="i"/>
              </m:rPr>
              <m:t>i</m:t>
            </m:r>
            <m:r>
              <m:rPr>
                <m:sty m:val="i"/>
              </m:rPr>
              <m:t>n</m:t>
            </m:r>
            <m:r>
              <m:rPr>
                <m:sty m:val="i"/>
              </m:rPr>
              <m:t>a</m:t>
            </m:r>
            <m:r>
              <m:rPr>
                <m:sty m:val="i"/>
              </m:rPr>
              <m:t>s</m:t>
            </m:r>
            <m:r>
              <m:rPr>
                <m:sty m:val="i"/>
              </m:rPr>
              <m:t>s</m:t>
            </m:r>
            <m:r>
              <m:rPr>
                <m:sty m:val="i"/>
              </m:rPr>
              <m:t>e</m:t>
            </m:r>
            <m:r>
              <m:rPr>
                <m:sty m:val="i"/>
              </m:rPr>
              <m:t>t</m:t>
            </m:r>
            <m:r>
              <m:rPr>
                <m:sty m:val="i"/>
              </m:rPr>
              <m:t>c</m:t>
            </m:r>
            <m:r>
              <m:rPr>
                <m:sty m:val="i"/>
              </m:rPr>
              <m:t>o</m:t>
            </m:r>
            <m:r>
              <m:rPr>
                <m:sty m:val="i"/>
              </m:rPr>
              <m:t>m</m:t>
            </m:r>
            <m:r>
              <m:rPr>
                <m:sty m:val="i"/>
              </m:rPr>
              <m:t>p</m:t>
            </m:r>
            <m:r>
              <m:rPr>
                <m:sty m:val="i"/>
              </m:rPr>
              <m:t>o</m:t>
            </m:r>
            <m:r>
              <m:rPr>
                <m:sty m:val="i"/>
              </m:rPr>
              <m:t>s</m:t>
            </m:r>
            <m:r>
              <m:rPr>
                <m:sty m:val="i"/>
              </m:rPr>
              <m:t>i</m:t>
            </m:r>
            <m:r>
              <m:rPr>
                <m:sty m:val="i"/>
              </m:rPr>
              <m:t>t</m:t>
            </m:r>
            <m:r>
              <m:rPr>
                <m:sty m:val="i"/>
              </m:rPr>
              <m:t>i</m:t>
            </m:r>
            <m:r>
              <m:rPr>
                <m:sty m:val="i"/>
              </m:rPr>
              <m:t>o</m:t>
            </m:r>
            <m:r>
              <m:rPr>
                <m:sty m:val="i"/>
              </m:rPr>
              <m:t>n</m:t>
            </m:r>
            <m:r>
              <m:rPr>
                <m:sty m:val="p"/>
              </m:rPr>
              <m:t>.</m:t>
            </m:r>
          </m:e>
        </m:box>
      </m:oMath>
      <w:r>
        <w:rPr>
          <w:rFonts w:ascii="Times New Roman" w:hAnsi="Times New Roman" w:eastAsia="MS Mincho"/>
          <w:b w:val="0"/>
          <w:i w:val="0"/>
          <w:sz w:val="20"/>
        </w:rPr>
        <w:t xml:space="preserve"> Countries with systematically different R&amp;D intensities trace out different regions of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xml:space="preserve">) space. The positive gradient of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on R&amp;D intensity reported in Supplementary Figure 3 (slope = 0.068, t = 2.34 under M4) is consistent with the interpretation that </w:t>
      </w:r>
      <m:oMath xmlns:mml="http://www.w3.org/1998/Math/MathML">
        <m:box>
          <m:e>
            <m:r>
              <m:rPr>
                <m:sty m:val="i"/>
              </m:rPr>
              <m:t>β</m:t>
            </m:r>
          </m:e>
        </m:box>
      </m:oMath>
      <w:r>
        <w:rPr>
          <w:rFonts w:ascii="Times New Roman" w:hAnsi="Times New Roman" w:eastAsia="MS Mincho"/>
          <w:b w:val="0"/>
          <w:i w:val="0"/>
          <w:sz w:val="20"/>
        </w:rPr>
        <w:t xml:space="preserve"> captures a component correlated with — but not mechanically determined by — observable R&amp;D spending. If </w:t>
      </w:r>
      <m:oMath xmlns:mml="http://www.w3.org/1998/Math/MathML">
        <m:box>
          <m:e>
            <m:r>
              <m:rPr>
                <m:sty m:val="i"/>
              </m:rPr>
              <m:t>β</m:t>
            </m:r>
          </m:e>
        </m:box>
      </m:oMath>
      <w:r>
        <w:rPr>
          <w:rFonts w:ascii="Times New Roman" w:hAnsi="Times New Roman" w:eastAsia="MS Mincho"/>
          <w:b w:val="0"/>
          <w:i w:val="0"/>
          <w:sz w:val="20"/>
        </w:rPr>
        <w:t xml:space="preserve"> were merely absorbing production-side noise unrelated to intangibles, there would be no reason for the cross-sectional gradient to steepen under M4 relative to M0.</w:t>
      </w:r>
    </w:p>
    <w:p>
      <w:pPr>
        <w:spacing w:after="120" w:line="360" w:lineRule="auto"/>
        <w:ind w:firstLine="480"/>
      </w:pPr>
      <m:oMath xmlns:mml="http://www.w3.org/1998/Math/MathML">
        <m:box>
          <m:e>
            <m:r>
              <m:rPr>
                <m:sty m:val="i"/>
              </m:rPr>
              <m:t>T</m:t>
            </m:r>
            <m:r>
              <m:rPr>
                <m:sty m:val="i"/>
              </m:rPr>
              <m:t>h</m:t>
            </m:r>
            <m:r>
              <m:rPr>
                <m:sty m:val="i"/>
              </m:rPr>
              <m:t>i</m:t>
            </m:r>
            <m:r>
              <m:rPr>
                <m:sty m:val="i"/>
              </m:rPr>
              <m:t>r</m:t>
            </m:r>
            <m:r>
              <m:rPr>
                <m:sty m:val="i"/>
              </m:rPr>
              <m:t>d</m:t>
            </m:r>
            <m:r>
              <m:rPr>
                <m:sty m:val="p"/>
              </m:rPr>
              <m:t>,</m:t>
            </m:r>
            <m:r>
              <m:rPr>
                <m:sty m:val="i"/>
              </m:rPr>
              <m:t>t</m:t>
            </m:r>
            <m:r>
              <m:rPr>
                <m:sty m:val="i"/>
              </m:rPr>
              <m:t>h</m:t>
            </m:r>
            <m:r>
              <m:rPr>
                <m:sty m:val="i"/>
              </m:rPr>
              <m:t>e</m:t>
            </m:r>
            <m:r>
              <m:rPr>
                <m:sty m:val="i"/>
              </m:rPr>
              <m:t>d</m:t>
            </m:r>
            <m:r>
              <m:rPr>
                <m:sty m:val="i"/>
              </m:rPr>
              <m:t>e</m:t>
            </m:r>
            <m:r>
              <m:rPr>
                <m:sty m:val="i"/>
              </m:rPr>
              <m:t>p</m:t>
            </m:r>
            <m:r>
              <m:rPr>
                <m:sty m:val="i"/>
              </m:rPr>
              <m:t>r</m:t>
            </m:r>
            <m:r>
              <m:rPr>
                <m:sty m:val="i"/>
              </m:rPr>
              <m:t>e</m:t>
            </m:r>
            <m:r>
              <m:rPr>
                <m:sty m:val="i"/>
              </m:rPr>
              <m:t>c</m:t>
            </m:r>
            <m:r>
              <m:rPr>
                <m:sty m:val="i"/>
              </m:rPr>
              <m:t>i</m:t>
            </m:r>
            <m:r>
              <m:rPr>
                <m:sty m:val="i"/>
              </m:rPr>
              <m:t>a</m:t>
            </m:r>
            <m:r>
              <m:rPr>
                <m:sty m:val="i"/>
              </m:rPr>
              <m:t>t</m:t>
            </m:r>
            <m:r>
              <m:rPr>
                <m:sty m:val="i"/>
              </m:rPr>
              <m:t>i</m:t>
            </m:r>
            <m:r>
              <m:rPr>
                <m:sty m:val="i"/>
              </m:rPr>
              <m:t>o</m:t>
            </m:r>
            <m:r>
              <m:rPr>
                <m:sty m:val="i"/>
              </m:rPr>
              <m:t>n</m:t>
            </m:r>
            <m:r>
              <m:rPr>
                <m:sty m:val="p"/>
              </m:rPr>
              <m:t>−</m:t>
            </m:r>
            <m:r>
              <m:rPr>
                <m:sty m:val="i"/>
              </m:rPr>
              <m:t>s</m:t>
            </m:r>
            <m:r>
              <m:rPr>
                <m:sty m:val="i"/>
              </m:rPr>
              <m:t>e</m:t>
            </m:r>
            <m:r>
              <m:rPr>
                <m:sty m:val="i"/>
              </m:rPr>
              <m:t>n</m:t>
            </m:r>
            <m:r>
              <m:rPr>
                <m:sty m:val="i"/>
              </m:rPr>
              <m:t>s</m:t>
            </m:r>
            <m:r>
              <m:rPr>
                <m:sty m:val="i"/>
              </m:rPr>
              <m:t>i</m:t>
            </m:r>
            <m:r>
              <m:rPr>
                <m:sty m:val="i"/>
              </m:rPr>
              <m:t>t</m:t>
            </m:r>
            <m:r>
              <m:rPr>
                <m:sty m:val="i"/>
              </m:rPr>
              <m:t>i</m:t>
            </m:r>
            <m:r>
              <m:rPr>
                <m:sty m:val="i"/>
              </m:rPr>
              <m:t>v</m:t>
            </m:r>
            <m:r>
              <m:rPr>
                <m:sty m:val="i"/>
              </m:rPr>
              <m:t>i</m:t>
            </m:r>
            <m:r>
              <m:rPr>
                <m:sty m:val="i"/>
              </m:rPr>
              <m:t>t</m:t>
            </m:r>
            <m:r>
              <m:rPr>
                <m:sty m:val="i"/>
              </m:rPr>
              <m:t>y</m:t>
            </m:r>
            <m:r>
              <m:rPr>
                <m:sty m:val="i"/>
              </m:rPr>
              <m:t>c</m:t>
            </m:r>
            <m:r>
              <m:rPr>
                <m:sty m:val="i"/>
              </m:rPr>
              <m:t>h</m:t>
            </m:r>
            <m:r>
              <m:rPr>
                <m:sty m:val="i"/>
              </m:rPr>
              <m:t>e</m:t>
            </m:r>
            <m:r>
              <m:rPr>
                <m:sty m:val="i"/>
              </m:rPr>
              <m:t>c</m:t>
            </m:r>
            <m:r>
              <m:rPr>
                <m:sty m:val="i"/>
              </m:rPr>
              <m:t>k</m:t>
            </m:r>
            <m:r>
              <m:rPr>
                <m:sty m:val="p"/>
              </m:rPr>
              <m:t>.</m:t>
            </m:r>
          </m:e>
        </m:box>
      </m:oMath>
      <w:r>
        <w:rPr>
          <w:rFonts w:ascii="Times New Roman" w:hAnsi="Times New Roman" w:eastAsia="MS Mincho"/>
          <w:b w:val="0"/>
          <w:i w:val="0"/>
          <w:sz w:val="20"/>
        </w:rPr>
        <w:t xml:space="preserve"> The </w:t>
      </w:r>
      <m:oMath xmlns:mml="http://www.w3.org/1998/Math/MathML">
        <m:box>
          <m:e>
            <m:r>
              <m:rPr>
                <m:sty m:val="i"/>
              </m:rPr>
              <m:t>δ</m:t>
            </m:r>
            <m:r>
              <m:rPr>
                <m:sty m:val="p"/>
              </m:rPr>
              <m:t>−</m:t>
            </m:r>
          </m:e>
        </m:box>
      </m:oMath>
      <w:r>
        <w:rPr>
          <w:rFonts w:ascii="Times New Roman" w:hAnsi="Times New Roman" w:eastAsia="MS Mincho"/>
          <w:b w:val="0"/>
          <w:i w:val="0"/>
          <w:sz w:val="20"/>
        </w:rPr>
        <w:t xml:space="preserve">perturbation experiment reported in Supplementary Information 5.6 addresses the concern that a drifting depreciation rate could mimic the tempo effect. The finding that the median and mean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are stable to within 2 % of the baseline value across six alternative </w:t>
      </w:r>
      <m:oMath xmlns:mml="http://www.w3.org/1998/Math/MathML">
        <m:box>
          <m:e>
            <m:r>
              <m:rPr>
                <m:sty m:val="i"/>
              </m:rPr>
              <m:t>δ</m:t>
            </m:r>
            <m:r>
              <m:rPr>
                <m:sty m:val="p"/>
              </m:rPr>
              <m:t>(</m:t>
            </m:r>
            <m:r>
              <m:rPr>
                <m:sty m:val="i"/>
              </m:rPr>
              <m:t>t</m:t>
            </m:r>
            <m:r>
              <m:rPr>
                <m:sty m:val="p"/>
              </m:rPr>
              <m:t>)</m:t>
            </m:r>
          </m:e>
        </m:box>
      </m:oMath>
      <w:r>
        <w:rPr>
          <w:rFonts w:ascii="Times New Roman" w:hAnsi="Times New Roman" w:eastAsia="MS Mincho"/>
          <w:b w:val="0"/>
          <w:i w:val="0"/>
          <w:sz w:val="20"/>
        </w:rPr>
        <w:t xml:space="preserve"> schedules implies that the tempo parameter is not an artefact of depreciation mis-measurement; the two channels are empirically separable under the grid-search protocol, even though they are theoretically confounded in a single-equation setting.</w:t>
      </w:r>
    </w:p>
    <w:p>
      <w:pPr>
        <w:spacing w:after="120" w:line="360" w:lineRule="auto"/>
        <w:ind w:firstLine="480"/>
      </w:pPr>
      <w:r>
        <w:rPr>
          <w:rFonts w:ascii="Times New Roman" w:hAnsi="Times New Roman" w:eastAsia="MS Mincho"/>
          <w:b w:val="0"/>
          <w:i w:val="0"/>
          <w:sz w:val="20"/>
        </w:rPr>
        <w:t xml:space="preserve">We acknowledge that none of these arguments constitutes a structural identification proof of the kind available in natural-experiment or instrumental-variable designs. The framework here is a calibrated decomposition, not a causal model. What the three sources of variation collectively establish is that the decomposition is </w:t>
      </w:r>
      <w:r>
        <w:rPr>
          <w:rFonts w:ascii="Times New Roman" w:hAnsi="Times New Roman" w:eastAsia="MS Mincho"/>
          <w:b w:val="0"/>
          <w:i/>
          <w:sz w:val="20"/>
        </w:rPr>
        <w:t>disciplined</w:t>
      </w:r>
      <w:r>
        <w:rPr>
          <w:rFonts w:ascii="Times New Roman" w:hAnsi="Times New Roman" w:eastAsia="MS Mincho"/>
          <w:b w:val="0"/>
          <w:i w:val="0"/>
          <w:sz w:val="20"/>
        </w:rPr>
        <w:t xml:space="preserve"> — it is not an unconstrained statistical exercise but a system of accounting identities whose parameters are pinned down by the requirement that flow and stock accounts agree — and that the resulting parameter estimates move in the directions predicted by economic theory (higher </w:t>
      </w:r>
      <m:oMath xmlns:mml="http://www.w3.org/1998/Math/MathML">
        <m:box>
          <m:e>
            <m:r>
              <m:rPr>
                <m:sty m:val="i"/>
              </m:rPr>
              <m:t>μ</m:t>
            </m:r>
          </m:e>
        </m:box>
      </m:oMath>
      <w:r>
        <w:rPr>
          <w:rFonts w:ascii="Times New Roman" w:hAnsi="Times New Roman" w:eastAsia="MS Mincho"/>
          <w:b w:val="0"/>
          <w:i w:val="0"/>
          <w:sz w:val="20"/>
        </w:rPr>
        <w:t xml:space="preserve"> in economies with longer-gestation investment, higher </w:t>
      </w:r>
      <m:oMath xmlns:mml="http://www.w3.org/1998/Math/MathML">
        <m:box>
          <m:e>
            <m:r>
              <m:rPr>
                <m:sty m:val="i"/>
              </m:rPr>
              <m:t>β</m:t>
            </m:r>
          </m:e>
        </m:box>
      </m:oMath>
      <w:r>
        <w:rPr>
          <w:rFonts w:ascii="Times New Roman" w:hAnsi="Times New Roman" w:eastAsia="MS Mincho"/>
          <w:b w:val="0"/>
          <w:i w:val="0"/>
          <w:sz w:val="20"/>
        </w:rPr>
        <w:t xml:space="preserve"> in economies with more R&amp;D). Whether the decomposition is unique in a deeper structural sense — whether alternative parameter configurations could generate the same observables — is a question we leave to future work with richer asset-class data.</w:t>
      </w:r>
    </w:p>
    <w:p>
      <w:pPr>
        <w:spacing w:before="360" w:after="120" w:line="360" w:lineRule="auto"/>
        <w:ind w:firstLine="0"/>
        <w:jc w:val="left"/>
      </w:pPr>
      <w:r>
        <w:rPr>
          <w:rFonts w:ascii="Times New Roman" w:hAnsi="Times New Roman" w:eastAsia="MS Mincho"/>
          <w:b/>
          <w:i w:val="0"/>
          <w:sz w:val="24"/>
        </w:rPr>
        <w:t>6.4 Implications for measurement practice and comparability</w:t>
      </w:r>
    </w:p>
    <w:p>
      <w:pPr>
        <w:spacing w:after="120" w:line="360" w:lineRule="auto"/>
        <w:ind w:firstLine="480"/>
      </w:pPr>
      <w:r>
        <w:rPr>
          <w:rFonts w:ascii="Times New Roman" w:hAnsi="Times New Roman" w:eastAsia="MS Mincho"/>
          <w:b w:val="0"/>
          <w:i w:val="0"/>
          <w:sz w:val="20"/>
        </w:rPr>
        <w:t>The corrections developed here translate into three concrete suggestions for statistical practice and cross-country measurement.</w:t>
      </w:r>
    </w:p>
    <w:p>
      <w:pPr>
        <w:spacing w:after="120" w:line="360" w:lineRule="auto"/>
        <w:ind w:firstLine="480"/>
      </w:pPr>
      <m:oMath xmlns:mml="http://www.w3.org/1998/Math/MathML">
        <m:box>
          <m:e>
            <m:r>
              <m:rPr>
                <m:sty m:val="i"/>
              </m:rPr>
              <m:t>S</m:t>
            </m:r>
            <m:r>
              <m:rPr>
                <m:sty m:val="i"/>
              </m:rPr>
              <m:t>t</m:t>
            </m:r>
            <m:r>
              <m:rPr>
                <m:sty m:val="i"/>
              </m:rPr>
              <m:t>a</m:t>
            </m:r>
            <m:r>
              <m:rPr>
                <m:sty m:val="i"/>
              </m:rPr>
              <m:t>t</m:t>
            </m:r>
            <m:r>
              <m:rPr>
                <m:sty m:val="i"/>
              </m:rPr>
              <m:t>i</m:t>
            </m:r>
            <m:r>
              <m:rPr>
                <m:sty m:val="i"/>
              </m:rPr>
              <m:t>s</m:t>
            </m:r>
            <m:r>
              <m:rPr>
                <m:sty m:val="i"/>
              </m:rPr>
              <m:t>t</m:t>
            </m:r>
            <m:r>
              <m:rPr>
                <m:sty m:val="i"/>
              </m:rPr>
              <m:t>i</m:t>
            </m:r>
            <m:r>
              <m:rPr>
                <m:sty m:val="i"/>
              </m:rPr>
              <m:t>c</m:t>
            </m:r>
            <m:r>
              <m:rPr>
                <m:sty m:val="i"/>
              </m:rPr>
              <m:t>a</m:t>
            </m:r>
            <m:r>
              <m:rPr>
                <m:sty m:val="i"/>
              </m:rPr>
              <m:t>l</m:t>
            </m:r>
            <m:r>
              <m:rPr>
                <m:sty m:val="p"/>
              </m:rPr>
              <m:t>−</m:t>
            </m:r>
            <m:r>
              <m:rPr>
                <m:sty m:val="i"/>
              </m:rPr>
              <m:t>a</m:t>
            </m:r>
            <m:r>
              <m:rPr>
                <m:sty m:val="i"/>
              </m:rPr>
              <m:t>g</m:t>
            </m:r>
            <m:r>
              <m:rPr>
                <m:sty m:val="i"/>
              </m:rPr>
              <m:t>e</m:t>
            </m:r>
            <m:r>
              <m:rPr>
                <m:sty m:val="i"/>
              </m:rPr>
              <m:t>n</m:t>
            </m:r>
            <m:r>
              <m:rPr>
                <m:sty m:val="i"/>
              </m:rPr>
              <m:t>c</m:t>
            </m:r>
            <m:r>
              <m:rPr>
                <m:sty m:val="i"/>
              </m:rPr>
              <m:t>y</m:t>
            </m:r>
            <m:r>
              <m:rPr>
                <m:sty m:val="i"/>
              </m:rPr>
              <m:t>p</m:t>
            </m:r>
            <m:r>
              <m:rPr>
                <m:sty m:val="i"/>
              </m:rPr>
              <m:t>r</m:t>
            </m:r>
            <m:r>
              <m:rPr>
                <m:sty m:val="i"/>
              </m:rPr>
              <m:t>a</m:t>
            </m:r>
            <m:r>
              <m:rPr>
                <m:sty m:val="i"/>
              </m:rPr>
              <m:t>c</m:t>
            </m:r>
            <m:r>
              <m:rPr>
                <m:sty m:val="i"/>
              </m:rPr>
              <m:t>t</m:t>
            </m:r>
            <m:r>
              <m:rPr>
                <m:sty m:val="i"/>
              </m:rPr>
              <m:t>i</m:t>
            </m:r>
            <m:r>
              <m:rPr>
                <m:sty m:val="i"/>
              </m:rPr>
              <m:t>c</m:t>
            </m:r>
            <m:r>
              <m:rPr>
                <m:sty m:val="i"/>
              </m:rPr>
              <m:t>e</m:t>
            </m:r>
            <m:r>
              <m:rPr>
                <m:sty m:val="p"/>
              </m:rPr>
              <m:t>.</m:t>
            </m:r>
          </m:e>
        </m:box>
      </m:oMath>
      <w:r>
        <w:rPr>
          <w:rFonts w:ascii="Times New Roman" w:hAnsi="Times New Roman" w:eastAsia="MS Mincho"/>
          <w:b w:val="0"/>
          <w:i w:val="0"/>
          <w:sz w:val="20"/>
        </w:rPr>
        <w:t xml:space="preserve"> The 2008 SNA (United Nations et al., 2009) would benefit from three modifications. First, the PIM should report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as a time-varying parameter alongside the depreciation rate </w:t>
      </w:r>
      <m:oMath xmlns:mml="http://www.w3.org/1998/Math/MathML">
        <m:box>
          <m:e>
            <m:r>
              <m:rPr>
                <m:sty m:val="i"/>
              </m:rPr>
              <m:t>δ</m:t>
            </m:r>
          </m:e>
        </m:box>
      </m:oMath>
      <w:r>
        <w:rPr>
          <w:rFonts w:ascii="Times New Roman" w:hAnsi="Times New Roman" w:eastAsia="MS Mincho"/>
          <w:b w:val="0"/>
          <w:i w:val="0"/>
          <w:sz w:val="20"/>
        </w:rPr>
        <w:t xml:space="preserve">, rather than treating it as a fixed structural constant. Second, produced-capital aggregates should carry a supplementary </w:t>
      </w:r>
      <m:oMath xmlns:mml="http://www.w3.org/1998/Math/MathML">
        <m:box>
          <m:e>
            <m:r>
              <m:rPr>
                <m:sty m:val="i"/>
              </m:rPr>
              <m:t>β</m:t>
            </m:r>
          </m:e>
        </m:box>
      </m:oMath>
      <w:r>
        <w:rPr>
          <w:rFonts w:ascii="Times New Roman" w:hAnsi="Times New Roman" w:eastAsia="MS Mincho"/>
          <w:b w:val="0"/>
          <w:i w:val="0"/>
          <w:sz w:val="20"/>
        </w:rPr>
        <w:t xml:space="preserve"> estimate so that users can see the intangible adjustment at a glance. Third, the Relational PIM diagnostic (</w:t>
      </w:r>
      <m:oMath xmlns:mml="http://www.w3.org/1998/Math/MathML">
        <m:box>
          <m:e>
            <m:sSub>
              <m:e>
                <m:r>
                  <m:rPr>
                    <m:sty m:val="i"/>
                  </m:rPr>
                  <m:t>ρ</m:t>
                </m:r>
              </m:e>
              <m:sub>
                <m:r>
                  <m:rPr>
                    <m:sty m:val="p"/>
                  </m:rPr>
                  <m:t>1</m:t>
                </m:r>
              </m:sub>
            </m:sSub>
          </m:e>
        </m:box>
      </m:oMath>
      <w:r>
        <w:rPr>
          <w:rFonts w:ascii="Times New Roman" w:hAnsi="Times New Roman" w:eastAsia="MS Mincho"/>
          <w:b w:val="0"/>
          <w:i w:val="0"/>
          <w:sz w:val="20"/>
        </w:rPr>
        <w:t xml:space="preserve">, </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xml:space="preserve">) developed in Sect. 3.4 can serve as a routine quality-control metric: a country whose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deviates markedly from unity warrants investigation before its wealth statistics are published.</w:t>
      </w:r>
    </w:p>
    <w:p>
      <w:pPr>
        <w:spacing w:after="120" w:line="360" w:lineRule="auto"/>
        <w:ind w:firstLine="480"/>
      </w:pPr>
      <w:r>
        <w:rPr>
          <w:rFonts w:ascii="Times New Roman" w:hAnsi="Times New Roman" w:eastAsia="MS Mincho"/>
          <w:b w:val="0"/>
          <w:i/>
          <w:sz w:val="20"/>
        </w:rPr>
        <w:t>International comparability.</w:t>
      </w:r>
      <w:r>
        <w:rPr>
          <w:rFonts w:ascii="Times New Roman" w:hAnsi="Times New Roman" w:eastAsia="MS Mincho"/>
          <w:b w:val="0"/>
          <w:i w:val="0"/>
          <w:sz w:val="20"/>
        </w:rPr>
        <w:t xml:space="preserve"> Cross-country heterogeneity in (</w:t>
      </w:r>
      <m:oMath xmlns:mml="http://www.w3.org/1998/Math/MathML">
        <m:box>
          <m:e>
            <m:acc>
              <m:accPr>
                <m:chr m:val="^"/>
              </m:accPr>
              <m:e>
                <m:r>
                  <m:rPr>
                    <m:sty m:val="i"/>
                  </m:rPr>
                  <m:t>μ</m:t>
                </m:r>
              </m:e>
            </m:acc>
          </m:e>
        </m:box>
      </m:oMath>
      <w:r>
        <w:rPr>
          <w:rFonts w:ascii="Times New Roman" w:hAnsi="Times New Roman" w:eastAsia="MS Mincho"/>
          <w:b w:val="0"/>
          <w:i w:val="0"/>
          <w:sz w:val="20"/>
        </w:rPr>
        <w:t xml:space="preserve">, </w:t>
      </w:r>
      <m:oMath xmlns:mml="http://www.w3.org/1998/Math/MathML">
        <m:box>
          <m:e>
            <m:acc>
              <m:accPr>
                <m:chr m:val="^"/>
              </m:accPr>
              <m:e>
                <m:r>
                  <m:rPr>
                    <m:sty m:val="i"/>
                  </m:rPr>
                  <m:t>β</m:t>
                </m:r>
              </m:e>
            </m:acc>
          </m:e>
        </m:box>
      </m:oMath>
      <w:r>
        <w:rPr>
          <w:rFonts w:ascii="Times New Roman" w:hAnsi="Times New Roman" w:eastAsia="MS Mincho"/>
          <w:b w:val="0"/>
          <w:i w:val="0"/>
          <w:sz w:val="20"/>
        </w:rPr>
        <w:t>) maps onto observable differences in investment composition. The one-size-fits-all depreciation schedules and zero-lag assumption used to construct PWT capital stocks introduce a systematic comparability problem: countries with longer-gestation investment portfolios (Nordic economies, Republic of Korea) appear to have lower capital and higher TFP relative to countries with shorter-gestation portfolios (United States, United Kingdom). Tempo-correcting the capital stock before computing TFP would improve the comparability of cross-country productivity studies such as Inklaar and Timmer (2013).</w:t>
      </w:r>
    </w:p>
    <w:p>
      <w:pPr>
        <w:spacing w:after="120" w:line="360" w:lineRule="auto"/>
        <w:ind w:firstLine="480"/>
      </w:pPr>
      <w:r>
        <w:rPr>
          <w:rFonts w:ascii="Times New Roman" w:hAnsi="Times New Roman" w:eastAsia="MS Mincho"/>
          <w:b w:val="0"/>
          <w:i w:val="0"/>
          <w:sz w:val="20"/>
        </w:rPr>
        <w:t xml:space="preserve">Two further consequences reach beyond measurement per se, and we note them as directions rather than recommendations. Because output-gap estimates are computed from production functions that assume </w:t>
      </w:r>
      <m:oMath xmlns:mml="http://www.w3.org/1998/Math/MathML">
        <m:box>
          <m:e>
            <m:r>
              <m:rPr>
                <m:sty m:val="i"/>
              </m:rPr>
              <m:t>μ</m:t>
            </m:r>
            <m:r>
              <m:rPr>
                <m:sty m:val="p"/>
              </m:rPr>
              <m:t>=</m:t>
            </m:r>
            <m:r>
              <m:rPr>
                <m:sty m:val="p"/>
              </m:rPr>
              <m:t>0</m:t>
            </m:r>
          </m:e>
        </m:box>
      </m:oMath>
      <w:r>
        <w:rPr>
          <w:rFonts w:ascii="Times New Roman" w:hAnsi="Times New Roman" w:eastAsia="MS Mincho"/>
          <w:b w:val="0"/>
          <w:i w:val="0"/>
          <w:sz w:val="20"/>
        </w:rPr>
        <w:t xml:space="preserve"> and </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the tempo bias propagates into potential-output series; for the United States (</w:t>
      </w:r>
      <m:oMath xmlns:mml="http://www.w3.org/1998/Math/MathML">
        <m:box>
          <m:e>
            <m:sSub>
              <m:e>
                <m:acc>
                  <m:accPr>
                    <m:chr m:val="^"/>
                  </m:accPr>
                  <m:e>
                    <m:r>
                      <m:rPr>
                        <m:sty m:val="i"/>
                      </m:rPr>
                      <m:t>μ</m:t>
                    </m:r>
                  </m:e>
                </m:acc>
              </m:e>
              <m:sub>
                <m:box>
                  <m:e>
                    <m:r>
                      <m:rPr>
                        <m:sty m:val="i"/>
                      </m:rPr>
                      <m:t>M</m:t>
                    </m:r>
                    <m:r>
                      <m:rPr>
                        <m:sty m:val="p"/>
                      </m:rPr>
                      <m:t>4</m:t>
                    </m:r>
                  </m:e>
                </m:box>
              </m:sub>
            </m:sSub>
            <m:r>
              <m:rPr>
                <m:sty m:val="p"/>
              </m:rPr>
              <m:t>≈</m:t>
            </m:r>
            <m:r>
              <m:rPr>
                <m:sty m:val="p"/>
              </m:rPr>
              <m:t>3.5</m:t>
            </m:r>
          </m:e>
        </m:box>
      </m:oMath>
      <w:r>
        <w:rPr>
          <w:rFonts w:ascii="Times New Roman" w:hAnsi="Times New Roman" w:eastAsia="MS Mincho"/>
          <w:b w:val="0"/>
          <w:i w:val="0"/>
          <w:sz w:val="20"/>
        </w:rPr>
        <w:t xml:space="preserve"> years), the PIM capital stock under M0 runs about 3–4 years ahead of the tempo-corrected stock. And the lengthening of monetary-transmission lags documented by Havranek and Rusnak (2013) admits a complementary gestation interpretation: as typical projects take longer to mature, the real-economy response to interest-rate changes is delayed through the same channel formalised here.</w:t>
      </w:r>
    </w:p>
    <w:p>
      <w:pPr>
        <w:spacing w:before="360" w:after="120" w:line="360" w:lineRule="auto"/>
        <w:ind w:firstLine="0"/>
        <w:jc w:val="left"/>
      </w:pPr>
      <w:r>
        <w:rPr>
          <w:rFonts w:ascii="Times New Roman" w:hAnsi="Times New Roman" w:eastAsia="MS Mincho"/>
          <w:b/>
          <w:i w:val="0"/>
          <w:sz w:val="24"/>
        </w:rPr>
        <w:t>6.5 Flow–stock reconciliation and extensions</w:t>
      </w:r>
    </w:p>
    <w:p>
      <w:pPr>
        <w:spacing w:after="120" w:line="360" w:lineRule="auto"/>
        <w:ind w:firstLine="480"/>
      </w:pPr>
      <w:r>
        <w:rPr>
          <w:rFonts w:ascii="Times New Roman" w:hAnsi="Times New Roman" w:eastAsia="MS Mincho"/>
          <w:b w:val="0"/>
          <w:i w:val="0"/>
          <w:sz w:val="20"/>
        </w:rPr>
        <w:t xml:space="preserve">The Beyond-GDP programme has argued that flow measures (GDP) should be replaced or augmented by stock measures such as IWI, CWON, and SEEA. The results point to a simpler synthesis: flow and stock measures are both biased by the same hidden parameters, and they move in the same direction once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and </w:t>
      </w:r>
      <m:oMath xmlns:mml="http://www.w3.org/1998/Math/MathML">
        <m:box>
          <m:e>
            <m:r>
              <m:rPr>
                <m:sty m:val="i"/>
              </m:rPr>
              <m:t>β</m:t>
            </m:r>
          </m:e>
        </m:box>
      </m:oMath>
      <w:r>
        <w:rPr>
          <w:rFonts w:ascii="Times New Roman" w:hAnsi="Times New Roman" w:eastAsia="MS Mincho"/>
          <w:b w:val="0"/>
          <w:i w:val="0"/>
          <w:sz w:val="20"/>
        </w:rPr>
        <w:t xml:space="preserve"> are made explicit. The close trajectory agreement, together with the temporal holdout results of Sect. 5.3, provides additional support for treating time-varying gestation and the intangible-capital component as useful accounting corrections, while not implying that CWON itself is ground truth. One practical route to Beyond-GDP is therefore not to abandon the flow account but to audit it for tempo drift and hidden </w:t>
      </w:r>
      <m:oMath xmlns:mml="http://www.w3.org/1998/Math/MathML">
        <m:box>
          <m:e>
            <m:r>
              <m:rPr>
                <m:sty m:val="i"/>
              </m:rPr>
              <m:t>β</m:t>
            </m:r>
          </m:e>
        </m:box>
      </m:oMath>
      <w:r>
        <w:rPr>
          <w:rFonts w:ascii="Times New Roman" w:hAnsi="Times New Roman" w:eastAsia="MS Mincho"/>
          <w:b w:val="0"/>
          <w:i w:val="0"/>
          <w:sz w:val="20"/>
        </w:rPr>
        <w:t>, much as demographers audited the period total fertility rate in the 1990s.</w:t>
      </w:r>
    </w:p>
    <w:p>
      <w:pPr>
        <w:spacing w:after="120" w:line="360" w:lineRule="auto"/>
        <w:ind w:firstLine="480"/>
      </w:pPr>
      <w:r>
        <w:rPr>
          <w:rFonts w:ascii="Times New Roman" w:hAnsi="Times New Roman" w:eastAsia="MS Mincho"/>
          <w:b w:val="0"/>
          <w:i w:val="0"/>
          <w:sz w:val="20"/>
        </w:rPr>
        <w:t xml:space="preserve">Three implications follow. First, the claim that flow and stock accounts cannot be reconciled is weakened once both are audited on the same terms: much of the observed gap is associated with the imposed-zero parameters rather than with a fundamental inconsistency. Second, constructing a single composite headline index is premature until the component accounts are internally consistent. Third, the demographic-tempo literature moved from a single-parameter adjustment to a richer multi-parameter framework only after the simpler version was taken seriously. Capital-accounting tempo correction is at the same stage fertility research was in 1998: the one-parameter version here is a necessary first step, and richer asset-class heterogeneity in </w:t>
      </w:r>
      <m:oMath xmlns:mml="http://www.w3.org/1998/Math/MathML">
        <m:box>
          <m:e>
            <m:r>
              <m:rPr>
                <m:sty m:val="i"/>
              </m:rPr>
              <m:t>μ</m:t>
            </m:r>
          </m:e>
        </m:box>
      </m:oMath>
      <w:r>
        <w:rPr>
          <w:rFonts w:ascii="Times New Roman" w:hAnsi="Times New Roman" w:eastAsia="MS Mincho"/>
          <w:b w:val="0"/>
          <w:i w:val="0"/>
          <w:sz w:val="20"/>
        </w:rPr>
        <w:t xml:space="preserve">, country-specific </w:t>
      </w:r>
      <m:oMath xmlns:mml="http://www.w3.org/1998/Math/MathML">
        <m:box>
          <m:e>
            <m:r>
              <m:rPr>
                <m:sty m:val="i"/>
              </m:rPr>
              <m:t>β</m:t>
            </m:r>
          </m:e>
        </m:box>
      </m:oMath>
      <w:r>
        <w:rPr>
          <w:rFonts w:ascii="Times New Roman" w:hAnsi="Times New Roman" w:eastAsia="MS Mincho"/>
          <w:b w:val="0"/>
          <w:i w:val="0"/>
          <w:sz w:val="20"/>
        </w:rPr>
        <w:t xml:space="preserve"> drift, and interaction terms between </w:t>
      </w:r>
      <m:oMath xmlns:mml="http://www.w3.org/1998/Math/MathML">
        <m:box>
          <m:e>
            <m:r>
              <m:rPr>
                <m:sty m:val="i"/>
              </m:rPr>
              <m:t>μ</m:t>
            </m:r>
          </m:e>
        </m:box>
      </m:oMath>
      <w:r>
        <w:rPr>
          <w:rFonts w:ascii="Times New Roman" w:hAnsi="Times New Roman" w:eastAsia="MS Mincho"/>
          <w:b w:val="0"/>
          <w:i w:val="0"/>
          <w:sz w:val="20"/>
        </w:rPr>
        <w:t xml:space="preserve"> and </w:t>
      </w:r>
      <m:oMath xmlns:mml="http://www.w3.org/1998/Math/MathML">
        <m:box>
          <m:e>
            <m:r>
              <m:rPr>
                <m:sty m:val="i"/>
              </m:rPr>
              <m:t>δ</m:t>
            </m:r>
          </m:e>
        </m:box>
      </m:oMath>
      <w:r>
        <w:rPr>
          <w:rFonts w:ascii="Times New Roman" w:hAnsi="Times New Roman" w:eastAsia="MS Mincho"/>
          <w:b w:val="0"/>
          <w:i w:val="0"/>
          <w:sz w:val="20"/>
        </w:rPr>
        <w:t xml:space="preserve"> are natural next steps.</w:t>
      </w:r>
    </w:p>
    <w:p>
      <w:pPr>
        <w:spacing w:after="120" w:line="360" w:lineRule="auto"/>
        <w:ind w:firstLine="480"/>
      </w:pPr>
      <w:r>
        <w:rPr>
          <w:rFonts w:ascii="Times New Roman" w:hAnsi="Times New Roman" w:eastAsia="MS Mincho"/>
          <w:b w:val="0"/>
          <w:i w:val="0"/>
          <w:sz w:val="20"/>
        </w:rPr>
        <w:t>The same quantum-tempo decomposition applies to other stock-of-outcomes processes — human capital, medical R&amp;D capital, climate adaptation capital — where the flow is contaminated by drift in the timing distribution. A further extension worth testing is whether shifts in the composition of investment over the business cycle create cyclical variation in effective gestation; the present analysis does not identify this mechanism. Extending the framework in these directions is a research programme; this paper is the first step.</w:t>
      </w:r>
    </w:p>
    <w:p>
      <w:pPr>
        <w:spacing w:before="360" w:after="120" w:line="360" w:lineRule="auto"/>
        <w:ind w:firstLine="0"/>
        <w:jc w:val="left"/>
      </w:pPr>
      <w:r>
        <w:rPr>
          <w:rFonts w:ascii="Times New Roman" w:hAnsi="Times New Roman" w:eastAsia="MS Mincho"/>
          <w:b/>
          <w:i w:val="0"/>
          <w:sz w:val="24"/>
        </w:rPr>
        <w:t>6.6 Limitations</w:t>
      </w:r>
    </w:p>
    <w:p>
      <w:pPr>
        <w:spacing w:after="120" w:line="360" w:lineRule="auto"/>
        <w:ind w:firstLine="480"/>
      </w:pPr>
      <w:r>
        <w:rPr>
          <w:rFonts w:ascii="Times New Roman" w:hAnsi="Times New Roman" w:eastAsia="MS Mincho"/>
          <w:b w:val="0"/>
          <w:i w:val="0"/>
          <w:sz w:val="20"/>
        </w:rPr>
        <w:t xml:space="preserve">Three caveats apply. First, our identification of </w:t>
      </w:r>
      <m:oMath xmlns:mml="http://www.w3.org/1998/Math/MathML">
        <m:box>
          <m:e>
            <m:r>
              <m:rPr>
                <m:sty m:val="i"/>
              </m:rPr>
              <m:t>β</m:t>
            </m:r>
          </m:e>
        </m:box>
      </m:oMath>
      <w:r>
        <w:rPr>
          <w:rFonts w:ascii="Times New Roman" w:hAnsi="Times New Roman" w:eastAsia="MS Mincho"/>
          <w:b w:val="0"/>
          <w:i w:val="0"/>
          <w:sz w:val="20"/>
        </w:rPr>
        <w:t xml:space="preserve"> against CWON is only as clean as CWON itself, and CWON combines national sources of heterogeneous quality — in particular, the treatment of land and sub-soil assets differs materially between Europe and the United States (Lange et al., 2021, Chap. 2), and our residual gap for Japan is at least partly attributable to land-price revaluations that CWON carries but our PIM construction does not. Second, the bootstrap CIs (Sect. 5.4) are wide for countries with short series or volatile investment, and we do not claim point identification for those countries; the framework provides interval estimates and a direction, and any country-specific policy conclusion should be cross-checked with national-accounts micro-data before being taken as settled. Third, the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sensitivity experiment (Supplementary Section S.9) treats the CWON deflator as a single country-level scalar; a more careful study would use sector-specific deflators, national land-price indices (Shimizu and Nishimura, 2007), and Tornqvist chained price indices for intangibles (Jorgenson et al., 2005), and is left to future work. A fourth, and perhaps the most important, caveat is that the demographic-tempo analogy is suggestive but not exact: demographic stocks depreciate via well-measured mortality rates, whereas capital stocks depreciate via </w:t>
      </w:r>
      <m:oMath xmlns:mml="http://www.w3.org/1998/Math/MathML">
        <m:box>
          <m:e>
            <m:sSub>
              <m:e>
                <m:r>
                  <m:rPr>
                    <m:sty m:val="i"/>
                  </m:rPr>
                  <m:t>δ</m:t>
                </m:r>
              </m:e>
              <m:sub>
                <m:box>
                  <m:e>
                    <m:r>
                      <m:rPr>
                        <m:sty m:val="i"/>
                      </m:rPr>
                      <m:t>t</m:t>
                    </m:r>
                  </m:e>
                </m:box>
              </m:sub>
            </m:sSub>
          </m:e>
        </m:box>
      </m:oMath>
      <w:r>
        <w:rPr>
          <w:rFonts w:ascii="Times New Roman" w:hAnsi="Times New Roman" w:eastAsia="MS Mincho"/>
          <w:b w:val="0"/>
          <w:i w:val="0"/>
          <w:sz w:val="20"/>
        </w:rPr>
        <w:t xml:space="preserve"> that is itself a derived estimate in PWT and is known to be imprecisely measured in transition economies (Inklaar and Timmer, 2013). If the true </w:t>
      </w:r>
      <m:oMath xmlns:mml="http://www.w3.org/1998/Math/MathML">
        <m:box>
          <m:e>
            <m:r>
              <m:rPr>
                <m:sty m:val="i"/>
              </m:rPr>
              <m:t>δ</m:t>
            </m:r>
          </m:e>
        </m:box>
      </m:oMath>
      <w:r>
        <w:rPr>
          <w:rFonts w:ascii="Times New Roman" w:hAnsi="Times New Roman" w:eastAsia="MS Mincho"/>
          <w:b w:val="0"/>
          <w:i w:val="0"/>
          <w:sz w:val="20"/>
        </w:rPr>
        <w:t xml:space="preserve"> is itself drifting, some of what we attribute to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could instead be absorbed by a time-varying </w:t>
      </w:r>
      <m:oMath xmlns:mml="http://www.w3.org/1998/Math/MathML">
        <m:box>
          <m:e>
            <m:r>
              <m:rPr>
                <m:sty m:val="i"/>
              </m:rPr>
              <m:t>δ</m:t>
            </m:r>
            <m:r>
              <m:rPr>
                <m:sty m:val="p"/>
              </m:rPr>
              <m:t>(</m:t>
            </m:r>
            <m:r>
              <m:rPr>
                <m:sty m:val="i"/>
              </m:rPr>
              <m:t>t</m:t>
            </m:r>
            <m:r>
              <m:rPr>
                <m:sty m:val="p"/>
              </m:rPr>
              <m:t>)</m:t>
            </m:r>
            <m:r>
              <m:rPr>
                <m:sty m:val="p"/>
              </m:rPr>
              <m:t>.</m:t>
            </m:r>
          </m:e>
        </m:box>
      </m:oMath>
      <w:r>
        <w:rPr>
          <w:rFonts w:ascii="Times New Roman" w:hAnsi="Times New Roman" w:eastAsia="MS Mincho"/>
          <w:b w:val="0"/>
          <w:i w:val="0"/>
          <w:sz w:val="20"/>
        </w:rPr>
        <w:t xml:space="preserve"> Disentangling these two drifts requires auxiliary data on capacity utilisation and asset retirements that is not uniformly available across the 39 countries in our sample.</w:t>
      </w:r>
    </w:p>
    <w:p>
      <w:pPr>
        <w:spacing w:before="360" w:after="120" w:line="360" w:lineRule="auto"/>
        <w:ind w:firstLine="0"/>
        <w:jc w:val="left"/>
      </w:pPr>
      <w:r>
        <w:rPr>
          <w:rFonts w:ascii="Times New Roman" w:hAnsi="Times New Roman" w:eastAsia="MS Mincho"/>
          <w:b/>
          <w:i w:val="0"/>
          <w:sz w:val="24"/>
        </w:rPr>
        <w:t>7 Conclusion</w:t>
      </w:r>
    </w:p>
    <w:p>
      <w:pPr>
        <w:spacing w:after="120" w:line="360" w:lineRule="auto"/>
        <w:ind w:firstLine="480"/>
      </w:pPr>
      <w:r>
        <w:rPr>
          <w:rFonts w:ascii="Times New Roman" w:hAnsi="Times New Roman" w:eastAsia="MS Mincho"/>
          <w:b w:val="0"/>
          <w:i w:val="0"/>
          <w:sz w:val="20"/>
        </w:rPr>
        <w:t xml:space="preserve">The debate over national income and wealth accounting has often been framed as a choice between flow and stock measures. The more useful question is whether the parameters that link the two — the time-to-build of investment and the share of intangible capital — are estimated or imposed. When they are imposed at zero, the accounting is silently biased, the Solow residual absorbs the error, and the accounts drift apart. When </w:t>
      </w:r>
      <m:oMath xmlns:mml="http://www.w3.org/1998/Math/MathML">
        <m:box>
          <m:e>
            <m:r>
              <m:rPr>
                <m:sty m:val="i"/>
              </m:rPr>
              <m:t>μ</m:t>
            </m:r>
          </m:e>
        </m:box>
      </m:oMath>
      <w:r>
        <w:rPr>
          <w:rFonts w:ascii="Times New Roman" w:hAnsi="Times New Roman" w:eastAsia="MS Mincho"/>
          <w:b w:val="0"/>
          <w:i w:val="0"/>
          <w:sz w:val="20"/>
        </w:rPr>
        <w:t xml:space="preserve"> is constructed from observable investment composition, the measured capital stock changes by a median 4.3 %, the corrected TFP is higher by 1.7 percentage points, and the implied labour share is higher by 1.7 percentage points. These are not forecasting improvements: they are measurement consequences.</w:t>
      </w:r>
    </w:p>
    <w:p>
      <w:pPr>
        <w:spacing w:after="120" w:line="360" w:lineRule="auto"/>
        <w:ind w:firstLine="480"/>
      </w:pPr>
      <w:r>
        <w:rPr>
          <w:rFonts w:ascii="Times New Roman" w:hAnsi="Times New Roman" w:eastAsia="MS Mincho"/>
          <w:b w:val="0"/>
          <w:i w:val="0"/>
          <w:sz w:val="20"/>
        </w:rPr>
        <w:t>The scale matters. A 4.3 % capital-stock revision is modest in absolute terms, but it implies that the capital contribution to output is systematically biased for every country that has shifted toward long-gestation assets. For the Republic of Korea the capital stock is overstated by 7.1 %, shifting TFP by 3.1 pp and the labour share by 3.1 pp; for Ireland the figures are 9.2 % and 4.6 pp. These magnitudes are comparable to the secular trends in labour shares (Karabarbounis and Neiman, 2014), suggesting that part of the observed decline could reflect an accounting artefact from ignoring gestation lags, alongside structural forces.</w:t>
      </w:r>
    </w:p>
    <w:p>
      <w:pPr>
        <w:spacing w:after="120" w:line="360" w:lineRule="auto"/>
        <w:ind w:firstLine="480"/>
      </w:pPr>
      <w:r>
        <w:rPr>
          <w:rFonts w:ascii="Times New Roman" w:hAnsi="Times New Roman" w:eastAsia="MS Mincho"/>
          <w:b w:val="0"/>
          <w:i w:val="0"/>
          <w:sz w:val="20"/>
        </w:rPr>
        <w:t xml:space="preserve">Three implications for measurement practice follow. First, national capital-stock estimates that treat </w:t>
      </w:r>
      <m:oMath xmlns:mml="http://www.w3.org/1998/Math/MathML">
        <m:box>
          <m:e>
            <m:r>
              <m:rPr>
                <m:sty m:val="i"/>
              </m:rPr>
              <m:t>μ</m:t>
            </m:r>
          </m:e>
        </m:box>
      </m:oMath>
      <w:r>
        <w:rPr>
          <w:rFonts w:ascii="Times New Roman" w:hAnsi="Times New Roman" w:eastAsia="MS Mincho"/>
          <w:b w:val="0"/>
          <w:i w:val="0"/>
          <w:sz w:val="20"/>
        </w:rPr>
        <w:t xml:space="preserve"> as time-invariant should be treated as provisional; the observable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proxy can be computed at negligible cost from existing OECD asset data. Second, wealth-accounting programmes such as CWON and IWI would be more informative if they published, alongside point estimates, joint-identified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values so users can see whether the flow and stock accounts are internally consistent. Third, a post-tempo, post-intangible residual is a more informative benchmark for productivity growth than the raw Solow residual. Demography learned to live with a smaller unexplained component once the period-cohort bias was acknowledged; economic measurement would benefit from the same adjustment.</w:t>
      </w:r>
    </w:p>
    <w:p>
      <w:pPr>
        <w:spacing w:before="360" w:after="120" w:line="360" w:lineRule="auto"/>
        <w:ind w:firstLine="0"/>
        <w:jc w:val="left"/>
      </w:pPr>
      <w:r>
        <w:rPr>
          <w:rFonts w:ascii="Times New Roman" w:hAnsi="Times New Roman" w:eastAsia="MS Mincho"/>
          <w:b/>
          <w:i w:val="0"/>
          <w:sz w:val="24"/>
        </w:rPr>
        <w:t>References</w:t>
      </w:r>
    </w:p>
    <w:p>
      <w:pPr>
        <w:spacing w:after="120" w:line="360" w:lineRule="auto"/>
        <w:ind w:firstLine="480"/>
      </w:pPr>
      <w:r>
        <w:rPr>
          <w:rFonts w:ascii="Times New Roman" w:hAnsi="Times New Roman" w:eastAsia="MS Mincho"/>
          <w:b w:val="0"/>
          <w:i w:val="0"/>
          <w:sz w:val="20"/>
        </w:rPr>
        <w:t xml:space="preserve">Altug, S. (1989). Time-to-build and aggregate fluctuations: Some new evidence. </w:t>
      </w:r>
      <w:r>
        <w:rPr>
          <w:rFonts w:ascii="Times New Roman" w:hAnsi="Times New Roman" w:eastAsia="MS Mincho"/>
          <w:b w:val="0"/>
          <w:i/>
          <w:sz w:val="20"/>
        </w:rPr>
        <w:t>International Economic Review</w:t>
      </w:r>
      <w:r>
        <w:rPr>
          <w:rFonts w:ascii="Times New Roman" w:hAnsi="Times New Roman" w:eastAsia="MS Mincho"/>
          <w:b w:val="0"/>
          <w:i w:val="0"/>
          <w:sz w:val="20"/>
        </w:rPr>
        <w:t xml:space="preserve">, </w:t>
      </w:r>
      <w:r>
        <w:rPr>
          <w:rFonts w:ascii="Times New Roman" w:hAnsi="Times New Roman" w:eastAsia="MS Mincho"/>
          <w:b w:val="0"/>
          <w:i/>
          <w:sz w:val="20"/>
        </w:rPr>
        <w:t>30</w:t>
      </w:r>
      <w:r>
        <w:rPr>
          <w:rFonts w:ascii="Times New Roman" w:hAnsi="Times New Roman" w:eastAsia="MS Mincho"/>
          <w:b w:val="0"/>
          <w:i w:val="0"/>
          <w:sz w:val="20"/>
        </w:rPr>
        <w:t>(4), 889–920. https://doi.org/10.2307/2526758</w:t>
      </w:r>
    </w:p>
    <w:p>
      <w:pPr>
        <w:spacing w:after="120" w:line="360" w:lineRule="auto"/>
        <w:ind w:firstLine="480"/>
      </w:pPr>
      <w:r>
        <w:rPr>
          <w:rFonts w:ascii="Times New Roman" w:hAnsi="Times New Roman" w:eastAsia="MS Mincho"/>
          <w:b w:val="0"/>
          <w:i w:val="0"/>
          <w:sz w:val="20"/>
        </w:rPr>
        <w:t xml:space="preserve">Arrow, K. J., Dasgupta, P., Goulder, L. H., Mumford, K. J., &amp; Oleson, K. (2012). Sustainability and the measurement of wealth. </w:t>
      </w:r>
      <w:r>
        <w:rPr>
          <w:rFonts w:ascii="Times New Roman" w:hAnsi="Times New Roman" w:eastAsia="MS Mincho"/>
          <w:b w:val="0"/>
          <w:i/>
          <w:sz w:val="20"/>
        </w:rPr>
        <w:t>Environment and Development Economics</w:t>
      </w:r>
      <w:r>
        <w:rPr>
          <w:rFonts w:ascii="Times New Roman" w:hAnsi="Times New Roman" w:eastAsia="MS Mincho"/>
          <w:b w:val="0"/>
          <w:i w:val="0"/>
          <w:sz w:val="20"/>
        </w:rPr>
        <w:t xml:space="preserve">, </w:t>
      </w:r>
      <w:r>
        <w:rPr>
          <w:rFonts w:ascii="Times New Roman" w:hAnsi="Times New Roman" w:eastAsia="MS Mincho"/>
          <w:b w:val="0"/>
          <w:i/>
          <w:sz w:val="20"/>
        </w:rPr>
        <w:t>17</w:t>
      </w:r>
      <w:r>
        <w:rPr>
          <w:rFonts w:ascii="Times New Roman" w:hAnsi="Times New Roman" w:eastAsia="MS Mincho"/>
          <w:b w:val="0"/>
          <w:i w:val="0"/>
          <w:sz w:val="20"/>
        </w:rPr>
        <w:t>(3), 317–353. https://doi.org/10.1017/S1355770X12000137</w:t>
      </w:r>
    </w:p>
    <w:p>
      <w:pPr>
        <w:spacing w:after="120" w:line="360" w:lineRule="auto"/>
        <w:ind w:firstLine="480"/>
      </w:pPr>
      <w:r>
        <w:rPr>
          <w:rFonts w:ascii="Times New Roman" w:hAnsi="Times New Roman" w:eastAsia="MS Mincho"/>
          <w:b w:val="0"/>
          <w:i w:val="0"/>
          <w:sz w:val="20"/>
        </w:rPr>
        <w:t xml:space="preserve">Bongaarts, J., &amp; Feeney, G. (1998). On the quantum and tempo of fertility. </w:t>
      </w:r>
      <w:r>
        <w:rPr>
          <w:rFonts w:ascii="Times New Roman" w:hAnsi="Times New Roman" w:eastAsia="MS Mincho"/>
          <w:b w:val="0"/>
          <w:i/>
          <w:sz w:val="20"/>
        </w:rPr>
        <w:t>Population and Development Review</w:t>
      </w:r>
      <w:r>
        <w:rPr>
          <w:rFonts w:ascii="Times New Roman" w:hAnsi="Times New Roman" w:eastAsia="MS Mincho"/>
          <w:b w:val="0"/>
          <w:i w:val="0"/>
          <w:sz w:val="20"/>
        </w:rPr>
        <w:t xml:space="preserve">, </w:t>
      </w:r>
      <w:r>
        <w:rPr>
          <w:rFonts w:ascii="Times New Roman" w:hAnsi="Times New Roman" w:eastAsia="MS Mincho"/>
          <w:b w:val="0"/>
          <w:i/>
          <w:sz w:val="20"/>
        </w:rPr>
        <w:t>24</w:t>
      </w:r>
      <w:r>
        <w:rPr>
          <w:rFonts w:ascii="Times New Roman" w:hAnsi="Times New Roman" w:eastAsia="MS Mincho"/>
          <w:b w:val="0"/>
          <w:i w:val="0"/>
          <w:sz w:val="20"/>
        </w:rPr>
        <w:t>(2), 271–291. https://doi.org/10.2307/2807974</w:t>
      </w:r>
    </w:p>
    <w:p>
      <w:pPr>
        <w:spacing w:after="120" w:line="360" w:lineRule="auto"/>
        <w:ind w:firstLine="480"/>
      </w:pPr>
      <w:r>
        <w:rPr>
          <w:rFonts w:ascii="Times New Roman" w:hAnsi="Times New Roman" w:eastAsia="MS Mincho"/>
          <w:b w:val="0"/>
          <w:i w:val="0"/>
          <w:sz w:val="20"/>
        </w:rPr>
        <w:t xml:space="preserve">Bongaarts, J., &amp; Sobotka, T. (2012). A demographic explanation for the recent rise in European fertility. </w:t>
      </w:r>
      <w:r>
        <w:rPr>
          <w:rFonts w:ascii="Times New Roman" w:hAnsi="Times New Roman" w:eastAsia="MS Mincho"/>
          <w:b w:val="0"/>
          <w:i/>
          <w:sz w:val="20"/>
        </w:rPr>
        <w:t>Population and Development Review</w:t>
      </w:r>
      <w:r>
        <w:rPr>
          <w:rFonts w:ascii="Times New Roman" w:hAnsi="Times New Roman" w:eastAsia="MS Mincho"/>
          <w:b w:val="0"/>
          <w:i w:val="0"/>
          <w:sz w:val="20"/>
        </w:rPr>
        <w:t xml:space="preserve">, </w:t>
      </w:r>
      <w:r>
        <w:rPr>
          <w:rFonts w:ascii="Times New Roman" w:hAnsi="Times New Roman" w:eastAsia="MS Mincho"/>
          <w:b w:val="0"/>
          <w:i/>
          <w:sz w:val="20"/>
        </w:rPr>
        <w:t>38</w:t>
      </w:r>
      <w:r>
        <w:rPr>
          <w:rFonts w:ascii="Times New Roman" w:hAnsi="Times New Roman" w:eastAsia="MS Mincho"/>
          <w:b w:val="0"/>
          <w:i w:val="0"/>
          <w:sz w:val="20"/>
        </w:rPr>
        <w:t>(1), 83–120. https://doi.org/10.1111/j.1728-4457.2012.00473.x</w:t>
      </w:r>
    </w:p>
    <w:p>
      <w:pPr>
        <w:spacing w:after="120" w:line="360" w:lineRule="auto"/>
        <w:ind w:firstLine="480"/>
      </w:pPr>
      <w:r>
        <w:rPr>
          <w:rFonts w:ascii="Times New Roman" w:hAnsi="Times New Roman" w:eastAsia="MS Mincho"/>
          <w:b w:val="0"/>
          <w:i w:val="0"/>
          <w:sz w:val="20"/>
        </w:rPr>
        <w:t xml:space="preserve">Brass, W. (1971). On the scale of mortality. In W. Brass (Ed.), </w:t>
      </w:r>
      <w:r>
        <w:rPr>
          <w:rFonts w:ascii="Times New Roman" w:hAnsi="Times New Roman" w:eastAsia="MS Mincho"/>
          <w:b w:val="0"/>
          <w:i/>
          <w:sz w:val="20"/>
        </w:rPr>
        <w:t>Biological aspects of demography</w:t>
      </w:r>
      <w:r>
        <w:rPr>
          <w:rFonts w:ascii="Times New Roman" w:hAnsi="Times New Roman" w:eastAsia="MS Mincho"/>
          <w:b w:val="0"/>
          <w:i w:val="0"/>
          <w:sz w:val="20"/>
        </w:rPr>
        <w:t xml:space="preserve"> (pp. 69–110). Taylor and Francis.</w:t>
      </w:r>
    </w:p>
    <w:p>
      <w:pPr>
        <w:spacing w:after="120" w:line="360" w:lineRule="auto"/>
        <w:ind w:firstLine="480"/>
      </w:pPr>
      <w:r>
        <w:rPr>
          <w:rFonts w:ascii="Times New Roman" w:hAnsi="Times New Roman" w:eastAsia="MS Mincho"/>
          <w:b w:val="0"/>
          <w:i w:val="0"/>
          <w:sz w:val="20"/>
        </w:rPr>
        <w:t xml:space="preserve">Christiano, L. J., &amp; Todd, R. M. (1996). Time to plan and aggregate fluctuations. </w:t>
      </w:r>
      <w:r>
        <w:rPr>
          <w:rFonts w:ascii="Times New Roman" w:hAnsi="Times New Roman" w:eastAsia="MS Mincho"/>
          <w:b w:val="0"/>
          <w:i/>
          <w:sz w:val="20"/>
        </w:rPr>
        <w:t>Federal Reserve Bank of Minneapolis Quarterly Review</w:t>
      </w:r>
      <w:r>
        <w:rPr>
          <w:rFonts w:ascii="Times New Roman" w:hAnsi="Times New Roman" w:eastAsia="MS Mincho"/>
          <w:b w:val="0"/>
          <w:i w:val="0"/>
          <w:sz w:val="20"/>
        </w:rPr>
        <w:t xml:space="preserve">, </w:t>
      </w:r>
      <w:r>
        <w:rPr>
          <w:rFonts w:ascii="Times New Roman" w:hAnsi="Times New Roman" w:eastAsia="MS Mincho"/>
          <w:b w:val="0"/>
          <w:i/>
          <w:sz w:val="20"/>
        </w:rPr>
        <w:t>20</w:t>
      </w:r>
      <w:r>
        <w:rPr>
          <w:rFonts w:ascii="Times New Roman" w:hAnsi="Times New Roman" w:eastAsia="MS Mincho"/>
          <w:b w:val="0"/>
          <w:i w:val="0"/>
          <w:sz w:val="20"/>
        </w:rPr>
        <w:t>(1), 14–27.</w:t>
      </w:r>
    </w:p>
    <w:p>
      <w:pPr>
        <w:spacing w:after="120" w:line="360" w:lineRule="auto"/>
        <w:ind w:firstLine="480"/>
      </w:pPr>
      <w:r>
        <w:rPr>
          <w:rFonts w:ascii="Times New Roman" w:hAnsi="Times New Roman" w:eastAsia="MS Mincho"/>
          <w:b w:val="0"/>
          <w:i w:val="0"/>
          <w:sz w:val="20"/>
        </w:rPr>
        <w:t xml:space="preserve">Corrado, C., Hulten, C., &amp; Sichel, D. (2005). Measuring capital and technology: An expanded framework. In C. Corrado, J. Haltiwanger, &amp; D. Sichel (Eds.), </w:t>
      </w:r>
      <w:r>
        <w:rPr>
          <w:rFonts w:ascii="Times New Roman" w:hAnsi="Times New Roman" w:eastAsia="MS Mincho"/>
          <w:b w:val="0"/>
          <w:i/>
          <w:sz w:val="20"/>
        </w:rPr>
        <w:t>Measuring capital in the new economy</w:t>
      </w:r>
      <w:r>
        <w:rPr>
          <w:rFonts w:ascii="Times New Roman" w:hAnsi="Times New Roman" w:eastAsia="MS Mincho"/>
          <w:b w:val="0"/>
          <w:i w:val="0"/>
          <w:sz w:val="20"/>
        </w:rPr>
        <w:t xml:space="preserve"> (pp. 11–46). University of Chicago Press. https://doi.org/10.7208/chicago/9780226116174.003.0002</w:t>
      </w:r>
    </w:p>
    <w:p>
      <w:pPr>
        <w:spacing w:after="120" w:line="360" w:lineRule="auto"/>
        <w:ind w:firstLine="480"/>
      </w:pPr>
      <w:r>
        <w:rPr>
          <w:rFonts w:ascii="Times New Roman" w:hAnsi="Times New Roman" w:eastAsia="MS Mincho"/>
          <w:b w:val="0"/>
          <w:i w:val="0"/>
          <w:sz w:val="20"/>
        </w:rPr>
        <w:t xml:space="preserve">Corrado, C., Hulten, C., &amp; Sichel, D. (2009). Intangible capital and US economic growth. </w:t>
      </w:r>
      <w:r>
        <w:rPr>
          <w:rFonts w:ascii="Times New Roman" w:hAnsi="Times New Roman" w:eastAsia="MS Mincho"/>
          <w:b w:val="0"/>
          <w:i/>
          <w:sz w:val="20"/>
        </w:rPr>
        <w:t>Review of Income and Wealth</w:t>
      </w:r>
      <w:r>
        <w:rPr>
          <w:rFonts w:ascii="Times New Roman" w:hAnsi="Times New Roman" w:eastAsia="MS Mincho"/>
          <w:b w:val="0"/>
          <w:i w:val="0"/>
          <w:sz w:val="20"/>
        </w:rPr>
        <w:t xml:space="preserve">, </w:t>
      </w:r>
      <w:r>
        <w:rPr>
          <w:rFonts w:ascii="Times New Roman" w:hAnsi="Times New Roman" w:eastAsia="MS Mincho"/>
          <w:b w:val="0"/>
          <w:i/>
          <w:sz w:val="20"/>
        </w:rPr>
        <w:t>55</w:t>
      </w:r>
      <w:r>
        <w:rPr>
          <w:rFonts w:ascii="Times New Roman" w:hAnsi="Times New Roman" w:eastAsia="MS Mincho"/>
          <w:b w:val="0"/>
          <w:i w:val="0"/>
          <w:sz w:val="20"/>
        </w:rPr>
        <w:t>(3), 661–685. https://doi.org/10.1111/j.1475-4991.2009.00343.x</w:t>
      </w:r>
    </w:p>
    <w:p>
      <w:pPr>
        <w:spacing w:after="120" w:line="360" w:lineRule="auto"/>
        <w:ind w:firstLine="480"/>
      </w:pPr>
      <w:r>
        <w:rPr>
          <w:rFonts w:ascii="Times New Roman" w:hAnsi="Times New Roman" w:eastAsia="MS Mincho"/>
          <w:b w:val="0"/>
          <w:i w:val="0"/>
          <w:sz w:val="20"/>
        </w:rPr>
        <w:t>Corrado, C., Haskel, J., Jona-Lasinio, C., &amp; Iommi, M. (2016). Intangible investment in the EU and US before and since the Great Recession and its contribution to productivity growth (EIB Working Papers 2016/08). European Investment Bank.</w:t>
      </w:r>
    </w:p>
    <w:p>
      <w:pPr>
        <w:spacing w:after="120" w:line="360" w:lineRule="auto"/>
        <w:ind w:firstLine="480"/>
      </w:pPr>
      <w:r>
        <w:rPr>
          <w:rFonts w:ascii="Times New Roman" w:hAnsi="Times New Roman" w:eastAsia="MS Mincho"/>
          <w:b w:val="0"/>
          <w:i w:val="0"/>
          <w:sz w:val="20"/>
        </w:rPr>
        <w:t xml:space="preserve">Corrado, C., Haskel, J., &amp; Jona-Lasinio, C. (2017). Knowledge spillovers, ICT and productivity growth. </w:t>
      </w:r>
      <w:r>
        <w:rPr>
          <w:rFonts w:ascii="Times New Roman" w:hAnsi="Times New Roman" w:eastAsia="MS Mincho"/>
          <w:b w:val="0"/>
          <w:i/>
          <w:sz w:val="20"/>
        </w:rPr>
        <w:t>Oxford Bulletin of Economics and Statistics</w:t>
      </w:r>
      <w:r>
        <w:rPr>
          <w:rFonts w:ascii="Times New Roman" w:hAnsi="Times New Roman" w:eastAsia="MS Mincho"/>
          <w:b w:val="0"/>
          <w:i w:val="0"/>
          <w:sz w:val="20"/>
        </w:rPr>
        <w:t xml:space="preserve">, </w:t>
      </w:r>
      <w:r>
        <w:rPr>
          <w:rFonts w:ascii="Times New Roman" w:hAnsi="Times New Roman" w:eastAsia="MS Mincho"/>
          <w:b w:val="0"/>
          <w:i/>
          <w:sz w:val="20"/>
        </w:rPr>
        <w:t>79</w:t>
      </w:r>
      <w:r>
        <w:rPr>
          <w:rFonts w:ascii="Times New Roman" w:hAnsi="Times New Roman" w:eastAsia="MS Mincho"/>
          <w:b w:val="0"/>
          <w:i w:val="0"/>
          <w:sz w:val="20"/>
        </w:rPr>
        <w:t>(4), 592–618. https://doi.org/10.1111/obes.12171</w:t>
      </w:r>
    </w:p>
    <w:p>
      <w:pPr>
        <w:spacing w:after="120" w:line="360" w:lineRule="auto"/>
        <w:ind w:firstLine="480"/>
      </w:pPr>
      <w:r>
        <w:rPr>
          <w:rFonts w:ascii="Times New Roman" w:hAnsi="Times New Roman" w:eastAsia="MS Mincho"/>
          <w:b w:val="0"/>
          <w:i w:val="0"/>
          <w:sz w:val="20"/>
        </w:rPr>
        <w:t xml:space="preserve">Corrado, C., Haskel, J., Iommi, M., &amp; Jona-Lasinio, C. (2020). Intangible capital, innovation and productivity à la Jorgenson: Evidence from Europe and the US. In B. M. Fraumeni (Ed.), </w:t>
      </w:r>
      <w:r>
        <w:rPr>
          <w:rFonts w:ascii="Times New Roman" w:hAnsi="Times New Roman" w:eastAsia="MS Mincho"/>
          <w:b w:val="0"/>
          <w:i/>
          <w:sz w:val="20"/>
        </w:rPr>
        <w:t>Measuring economic growth and productivity</w:t>
      </w:r>
      <w:r>
        <w:rPr>
          <w:rFonts w:ascii="Times New Roman" w:hAnsi="Times New Roman" w:eastAsia="MS Mincho"/>
          <w:b w:val="0"/>
          <w:i w:val="0"/>
          <w:sz w:val="20"/>
        </w:rPr>
        <w:t xml:space="preserve"> (pp. 363–385). Academic Press. https://doi.org/10.1016/B978-0-12-817596-5.00016-0</w:t>
      </w:r>
    </w:p>
    <w:p>
      <w:pPr>
        <w:spacing w:after="120" w:line="360" w:lineRule="auto"/>
        <w:ind w:firstLine="480"/>
      </w:pPr>
      <w:r>
        <w:rPr>
          <w:rFonts w:ascii="Times New Roman" w:hAnsi="Times New Roman" w:eastAsia="MS Mincho"/>
          <w:b w:val="0"/>
          <w:i w:val="0"/>
          <w:sz w:val="20"/>
        </w:rPr>
        <w:t xml:space="preserve">dal Borgo, M., Goodridge, P., Haskel, J., &amp; Pesole, A. (2013). Productivity and growth in UK industries: An intangible investment approach. </w:t>
      </w:r>
      <w:r>
        <w:rPr>
          <w:rFonts w:ascii="Times New Roman" w:hAnsi="Times New Roman" w:eastAsia="MS Mincho"/>
          <w:b w:val="0"/>
          <w:i/>
          <w:sz w:val="20"/>
        </w:rPr>
        <w:t>Oxford Bulletin of Economics and Statistics</w:t>
      </w:r>
      <w:r>
        <w:rPr>
          <w:rFonts w:ascii="Times New Roman" w:hAnsi="Times New Roman" w:eastAsia="MS Mincho"/>
          <w:b w:val="0"/>
          <w:i w:val="0"/>
          <w:sz w:val="20"/>
        </w:rPr>
        <w:t xml:space="preserve">, </w:t>
      </w:r>
      <w:r>
        <w:rPr>
          <w:rFonts w:ascii="Times New Roman" w:hAnsi="Times New Roman" w:eastAsia="MS Mincho"/>
          <w:b w:val="0"/>
          <w:i/>
          <w:sz w:val="20"/>
        </w:rPr>
        <w:t>75</w:t>
      </w:r>
      <w:r>
        <w:rPr>
          <w:rFonts w:ascii="Times New Roman" w:hAnsi="Times New Roman" w:eastAsia="MS Mincho"/>
          <w:b w:val="0"/>
          <w:i w:val="0"/>
          <w:sz w:val="20"/>
        </w:rPr>
        <w:t>(6), 806–834. https://doi.org/10.1111/j.1468-0084.2012.00718.x</w:t>
      </w:r>
    </w:p>
    <w:p>
      <w:pPr>
        <w:spacing w:after="120" w:line="360" w:lineRule="auto"/>
        <w:ind w:firstLine="480"/>
      </w:pPr>
      <w:r>
        <w:rPr>
          <w:rFonts w:ascii="Times New Roman" w:hAnsi="Times New Roman" w:eastAsia="MS Mincho"/>
          <w:b w:val="0"/>
          <w:i w:val="0"/>
          <w:sz w:val="20"/>
        </w:rPr>
        <w:t xml:space="preserve">Dasgupta, P. (2021). </w:t>
      </w:r>
      <w:r>
        <w:rPr>
          <w:rFonts w:ascii="Times New Roman" w:hAnsi="Times New Roman" w:eastAsia="MS Mincho"/>
          <w:b w:val="0"/>
          <w:i/>
          <w:sz w:val="20"/>
        </w:rPr>
        <w:t>The economics of biodiversity: The Dasgupta review</w:t>
      </w:r>
      <w:r>
        <w:rPr>
          <w:rFonts w:ascii="Times New Roman" w:hAnsi="Times New Roman" w:eastAsia="MS Mincho"/>
          <w:b w:val="0"/>
          <w:i w:val="0"/>
          <w:sz w:val="20"/>
        </w:rPr>
        <w:t>. HM Treasury.</w:t>
      </w:r>
    </w:p>
    <w:p>
      <w:pPr>
        <w:spacing w:after="120" w:line="360" w:lineRule="auto"/>
        <w:ind w:firstLine="480"/>
      </w:pPr>
      <w:r>
        <w:rPr>
          <w:rFonts w:ascii="Times New Roman" w:hAnsi="Times New Roman" w:eastAsia="MS Mincho"/>
          <w:b w:val="0"/>
          <w:i w:val="0"/>
          <w:sz w:val="20"/>
        </w:rPr>
        <w:t xml:space="preserve">Edge, R. M. (2007). Time-to-build, time-to-plan, habit-persistence, and the liquidity effect. </w:t>
      </w:r>
      <w:r>
        <w:rPr>
          <w:rFonts w:ascii="Times New Roman" w:hAnsi="Times New Roman" w:eastAsia="MS Mincho"/>
          <w:b w:val="0"/>
          <w:i/>
          <w:sz w:val="20"/>
        </w:rPr>
        <w:t>Journal of Monetary Economics</w:t>
      </w:r>
      <w:r>
        <w:rPr>
          <w:rFonts w:ascii="Times New Roman" w:hAnsi="Times New Roman" w:eastAsia="MS Mincho"/>
          <w:b w:val="0"/>
          <w:i w:val="0"/>
          <w:sz w:val="20"/>
        </w:rPr>
        <w:t xml:space="preserve">, </w:t>
      </w:r>
      <w:r>
        <w:rPr>
          <w:rFonts w:ascii="Times New Roman" w:hAnsi="Times New Roman" w:eastAsia="MS Mincho"/>
          <w:b w:val="0"/>
          <w:i/>
          <w:sz w:val="20"/>
        </w:rPr>
        <w:t>54</w:t>
      </w:r>
      <w:r>
        <w:rPr>
          <w:rFonts w:ascii="Times New Roman" w:hAnsi="Times New Roman" w:eastAsia="MS Mincho"/>
          <w:b w:val="0"/>
          <w:i w:val="0"/>
          <w:sz w:val="20"/>
        </w:rPr>
        <w:t>(6), 1644–1669. https://doi.org/10.1016/j.jmoneco.2006.07.003</w:t>
      </w:r>
    </w:p>
    <w:p>
      <w:pPr>
        <w:spacing w:after="120" w:line="360" w:lineRule="auto"/>
        <w:ind w:firstLine="480"/>
      </w:pPr>
      <w:r>
        <w:rPr>
          <w:rFonts w:ascii="Times New Roman" w:hAnsi="Times New Roman" w:eastAsia="MS Mincho"/>
          <w:b w:val="0"/>
          <w:i w:val="0"/>
          <w:sz w:val="20"/>
        </w:rPr>
        <w:t xml:space="preserve">Feenstra, R. C., Inklaar, R., &amp; Timmer, M. P. (2015). The next generation of the Penn World Table. </w:t>
      </w:r>
      <w:r>
        <w:rPr>
          <w:rFonts w:ascii="Times New Roman" w:hAnsi="Times New Roman" w:eastAsia="MS Mincho"/>
          <w:b w:val="0"/>
          <w:i/>
          <w:sz w:val="20"/>
        </w:rPr>
        <w:t>American Economic Review</w:t>
      </w:r>
      <w:r>
        <w:rPr>
          <w:rFonts w:ascii="Times New Roman" w:hAnsi="Times New Roman" w:eastAsia="MS Mincho"/>
          <w:b w:val="0"/>
          <w:i w:val="0"/>
          <w:sz w:val="20"/>
        </w:rPr>
        <w:t xml:space="preserve">, </w:t>
      </w:r>
      <w:r>
        <w:rPr>
          <w:rFonts w:ascii="Times New Roman" w:hAnsi="Times New Roman" w:eastAsia="MS Mincho"/>
          <w:b w:val="0"/>
          <w:i/>
          <w:sz w:val="20"/>
        </w:rPr>
        <w:t>105</w:t>
      </w:r>
      <w:r>
        <w:rPr>
          <w:rFonts w:ascii="Times New Roman" w:hAnsi="Times New Roman" w:eastAsia="MS Mincho"/>
          <w:b w:val="0"/>
          <w:i w:val="0"/>
          <w:sz w:val="20"/>
        </w:rPr>
        <w:t>(10), 3150–3182. https://doi.org/10.1257/aer.20130954</w:t>
      </w:r>
    </w:p>
    <w:p>
      <w:pPr>
        <w:spacing w:after="120" w:line="360" w:lineRule="auto"/>
        <w:ind w:firstLine="480"/>
      </w:pPr>
      <w:r>
        <w:rPr>
          <w:rFonts w:ascii="Times New Roman" w:hAnsi="Times New Roman" w:eastAsia="MS Mincho"/>
          <w:b w:val="0"/>
          <w:i w:val="0"/>
          <w:sz w:val="20"/>
        </w:rPr>
        <w:t xml:space="preserve">Goldstein, J. R., Lutz, W., &amp; Scherbov, S. (2003). Long-term population decline in Europe: The relative importance of tempo effects and generational length. </w:t>
      </w:r>
      <w:r>
        <w:rPr>
          <w:rFonts w:ascii="Times New Roman" w:hAnsi="Times New Roman" w:eastAsia="MS Mincho"/>
          <w:b w:val="0"/>
          <w:i/>
          <w:sz w:val="20"/>
        </w:rPr>
        <w:t>Population and Development Review</w:t>
      </w:r>
      <w:r>
        <w:rPr>
          <w:rFonts w:ascii="Times New Roman" w:hAnsi="Times New Roman" w:eastAsia="MS Mincho"/>
          <w:b w:val="0"/>
          <w:i w:val="0"/>
          <w:sz w:val="20"/>
        </w:rPr>
        <w:t xml:space="preserve">, </w:t>
      </w:r>
      <w:r>
        <w:rPr>
          <w:rFonts w:ascii="Times New Roman" w:hAnsi="Times New Roman" w:eastAsia="MS Mincho"/>
          <w:b w:val="0"/>
          <w:i/>
          <w:sz w:val="20"/>
        </w:rPr>
        <w:t>29</w:t>
      </w:r>
      <w:r>
        <w:rPr>
          <w:rFonts w:ascii="Times New Roman" w:hAnsi="Times New Roman" w:eastAsia="MS Mincho"/>
          <w:b w:val="0"/>
          <w:i w:val="0"/>
          <w:sz w:val="20"/>
        </w:rPr>
        <w:t>(4), 699–707. https://doi.org/10.1111/j.1728-4457.2003.00699.x</w:t>
      </w:r>
    </w:p>
    <w:p>
      <w:pPr>
        <w:spacing w:after="120" w:line="360" w:lineRule="auto"/>
        <w:ind w:firstLine="480"/>
      </w:pPr>
      <w:r>
        <w:rPr>
          <w:rFonts w:ascii="Times New Roman" w:hAnsi="Times New Roman" w:eastAsia="MS Mincho"/>
          <w:b w:val="0"/>
          <w:i w:val="0"/>
          <w:sz w:val="20"/>
        </w:rPr>
        <w:t xml:space="preserve">Griliches, Z. (1996). The discovery of the residual: A historical note. </w:t>
      </w:r>
      <w:r>
        <w:rPr>
          <w:rFonts w:ascii="Times New Roman" w:hAnsi="Times New Roman" w:eastAsia="MS Mincho"/>
          <w:b w:val="0"/>
          <w:i/>
          <w:sz w:val="20"/>
        </w:rPr>
        <w:t>Journal of Economic Literature</w:t>
      </w:r>
      <w:r>
        <w:rPr>
          <w:rFonts w:ascii="Times New Roman" w:hAnsi="Times New Roman" w:eastAsia="MS Mincho"/>
          <w:b w:val="0"/>
          <w:i w:val="0"/>
          <w:sz w:val="20"/>
        </w:rPr>
        <w:t xml:space="preserve">, </w:t>
      </w:r>
      <w:r>
        <w:rPr>
          <w:rFonts w:ascii="Times New Roman" w:hAnsi="Times New Roman" w:eastAsia="MS Mincho"/>
          <w:b w:val="0"/>
          <w:i/>
          <w:sz w:val="20"/>
        </w:rPr>
        <w:t>34</w:t>
      </w:r>
      <w:r>
        <w:rPr>
          <w:rFonts w:ascii="Times New Roman" w:hAnsi="Times New Roman" w:eastAsia="MS Mincho"/>
          <w:b w:val="0"/>
          <w:i w:val="0"/>
          <w:sz w:val="20"/>
        </w:rPr>
        <w:t>(3), 1324–1330.</w:t>
      </w:r>
    </w:p>
    <w:p>
      <w:pPr>
        <w:spacing w:after="120" w:line="360" w:lineRule="auto"/>
        <w:ind w:firstLine="480"/>
      </w:pPr>
      <w:r>
        <w:rPr>
          <w:rFonts w:ascii="Times New Roman" w:hAnsi="Times New Roman" w:eastAsia="MS Mincho"/>
          <w:b w:val="0"/>
          <w:i w:val="0"/>
          <w:sz w:val="20"/>
        </w:rPr>
        <w:t xml:space="preserve">Haskel, J., &amp; Westlake, S. (2017). </w:t>
      </w:r>
      <w:r>
        <w:rPr>
          <w:rFonts w:ascii="Times New Roman" w:hAnsi="Times New Roman" w:eastAsia="MS Mincho"/>
          <w:b w:val="0"/>
          <w:i/>
          <w:sz w:val="20"/>
        </w:rPr>
        <w:t>Capitalism without capital: The rise of the intangible economy</w:t>
      </w:r>
      <w:r>
        <w:rPr>
          <w:rFonts w:ascii="Times New Roman" w:hAnsi="Times New Roman" w:eastAsia="MS Mincho"/>
          <w:b w:val="0"/>
          <w:i w:val="0"/>
          <w:sz w:val="20"/>
        </w:rPr>
        <w:t>. Princeton University Press.</w:t>
      </w:r>
    </w:p>
    <w:p>
      <w:pPr>
        <w:spacing w:after="120" w:line="360" w:lineRule="auto"/>
        <w:ind w:firstLine="480"/>
      </w:pPr>
      <w:r>
        <w:rPr>
          <w:rFonts w:ascii="Times New Roman" w:hAnsi="Times New Roman" w:eastAsia="MS Mincho"/>
          <w:b w:val="0"/>
          <w:i w:val="0"/>
          <w:sz w:val="20"/>
        </w:rPr>
        <w:t xml:space="preserve">Haskel, J., &amp; Westlake, S. (2022). </w:t>
      </w:r>
      <w:r>
        <w:rPr>
          <w:rFonts w:ascii="Times New Roman" w:hAnsi="Times New Roman" w:eastAsia="MS Mincho"/>
          <w:b w:val="0"/>
          <w:i/>
          <w:sz w:val="20"/>
        </w:rPr>
        <w:t>Restarting the future: How to fix the intangible economy</w:t>
      </w:r>
      <w:r>
        <w:rPr>
          <w:rFonts w:ascii="Times New Roman" w:hAnsi="Times New Roman" w:eastAsia="MS Mincho"/>
          <w:b w:val="0"/>
          <w:i w:val="0"/>
          <w:sz w:val="20"/>
        </w:rPr>
        <w:t>. Princeton University Press.</w:t>
      </w:r>
    </w:p>
    <w:p>
      <w:pPr>
        <w:spacing w:after="120" w:line="360" w:lineRule="auto"/>
        <w:ind w:firstLine="480"/>
      </w:pPr>
      <w:r>
        <w:rPr>
          <w:rFonts w:ascii="Times New Roman" w:hAnsi="Times New Roman" w:eastAsia="MS Mincho"/>
          <w:b w:val="0"/>
          <w:i w:val="0"/>
          <w:sz w:val="20"/>
        </w:rPr>
        <w:t xml:space="preserve">Havranek, T., &amp; Rusnak, M. (2013). Transmission lags of monetary policy: A meta-analysis. </w:t>
      </w:r>
      <w:r>
        <w:rPr>
          <w:rFonts w:ascii="Times New Roman" w:hAnsi="Times New Roman" w:eastAsia="MS Mincho"/>
          <w:b w:val="0"/>
          <w:i/>
          <w:sz w:val="20"/>
        </w:rPr>
        <w:t>International Journal of Central Banking</w:t>
      </w:r>
      <w:r>
        <w:rPr>
          <w:rFonts w:ascii="Times New Roman" w:hAnsi="Times New Roman" w:eastAsia="MS Mincho"/>
          <w:b w:val="0"/>
          <w:i w:val="0"/>
          <w:sz w:val="20"/>
        </w:rPr>
        <w:t xml:space="preserve">, </w:t>
      </w:r>
      <w:r>
        <w:rPr>
          <w:rFonts w:ascii="Times New Roman" w:hAnsi="Times New Roman" w:eastAsia="MS Mincho"/>
          <w:b w:val="0"/>
          <w:i/>
          <w:sz w:val="20"/>
        </w:rPr>
        <w:t>9</w:t>
      </w:r>
      <w:r>
        <w:rPr>
          <w:rFonts w:ascii="Times New Roman" w:hAnsi="Times New Roman" w:eastAsia="MS Mincho"/>
          <w:b w:val="0"/>
          <w:i w:val="0"/>
          <w:sz w:val="20"/>
        </w:rPr>
        <w:t>(4), 39–76.</w:t>
      </w:r>
    </w:p>
    <w:p>
      <w:pPr>
        <w:spacing w:after="120" w:line="360" w:lineRule="auto"/>
        <w:ind w:firstLine="480"/>
      </w:pPr>
      <w:r>
        <w:rPr>
          <w:rFonts w:ascii="Times New Roman" w:hAnsi="Times New Roman" w:eastAsia="MS Mincho"/>
          <w:b w:val="0"/>
          <w:i w:val="0"/>
          <w:sz w:val="20"/>
        </w:rPr>
        <w:t xml:space="preserve">Hayashi, F., &amp; Prescott, E. C. (2002). The 1990s in Japan: A lost decade. </w:t>
      </w:r>
      <w:r>
        <w:rPr>
          <w:rFonts w:ascii="Times New Roman" w:hAnsi="Times New Roman" w:eastAsia="MS Mincho"/>
          <w:b w:val="0"/>
          <w:i/>
          <w:sz w:val="20"/>
        </w:rPr>
        <w:t>Review of Economic Dynamics</w:t>
      </w:r>
      <w:r>
        <w:rPr>
          <w:rFonts w:ascii="Times New Roman" w:hAnsi="Times New Roman" w:eastAsia="MS Mincho"/>
          <w:b w:val="0"/>
          <w:i w:val="0"/>
          <w:sz w:val="20"/>
        </w:rPr>
        <w:t xml:space="preserve">, </w:t>
      </w:r>
      <w:r>
        <w:rPr>
          <w:rFonts w:ascii="Times New Roman" w:hAnsi="Times New Roman" w:eastAsia="MS Mincho"/>
          <w:b w:val="0"/>
          <w:i/>
          <w:sz w:val="20"/>
        </w:rPr>
        <w:t>5</w:t>
      </w:r>
      <w:r>
        <w:rPr>
          <w:rFonts w:ascii="Times New Roman" w:hAnsi="Times New Roman" w:eastAsia="MS Mincho"/>
          <w:b w:val="0"/>
          <w:i w:val="0"/>
          <w:sz w:val="20"/>
        </w:rPr>
        <w:t>(1), 206–235. https://doi.org/10.1006/redy.2001.0149</w:t>
      </w:r>
    </w:p>
    <w:p>
      <w:pPr>
        <w:spacing w:after="120" w:line="360" w:lineRule="auto"/>
        <w:ind w:firstLine="480"/>
      </w:pPr>
      <w:r>
        <w:rPr>
          <w:rFonts w:ascii="Times New Roman" w:hAnsi="Times New Roman" w:eastAsia="MS Mincho"/>
          <w:b w:val="0"/>
          <w:i w:val="0"/>
          <w:sz w:val="20"/>
        </w:rPr>
        <w:t xml:space="preserve">Hulten, C. R. (1992). Growth accounting when technical change is embodied in capital. </w:t>
      </w:r>
      <w:r>
        <w:rPr>
          <w:rFonts w:ascii="Times New Roman" w:hAnsi="Times New Roman" w:eastAsia="MS Mincho"/>
          <w:b w:val="0"/>
          <w:i/>
          <w:sz w:val="20"/>
        </w:rPr>
        <w:t>American Economic Review</w:t>
      </w:r>
      <w:r>
        <w:rPr>
          <w:rFonts w:ascii="Times New Roman" w:hAnsi="Times New Roman" w:eastAsia="MS Mincho"/>
          <w:b w:val="0"/>
          <w:i w:val="0"/>
          <w:sz w:val="20"/>
        </w:rPr>
        <w:t xml:space="preserve">, </w:t>
      </w:r>
      <w:r>
        <w:rPr>
          <w:rFonts w:ascii="Times New Roman" w:hAnsi="Times New Roman" w:eastAsia="MS Mincho"/>
          <w:b w:val="0"/>
          <w:i/>
          <w:sz w:val="20"/>
        </w:rPr>
        <w:t>82</w:t>
      </w:r>
      <w:r>
        <w:rPr>
          <w:rFonts w:ascii="Times New Roman" w:hAnsi="Times New Roman" w:eastAsia="MS Mincho"/>
          <w:b w:val="0"/>
          <w:i w:val="0"/>
          <w:sz w:val="20"/>
        </w:rPr>
        <w:t>(4), 964–980.</w:t>
      </w:r>
    </w:p>
    <w:p>
      <w:pPr>
        <w:spacing w:after="120" w:line="360" w:lineRule="auto"/>
        <w:ind w:firstLine="480"/>
      </w:pPr>
      <w:r>
        <w:rPr>
          <w:rFonts w:ascii="Times New Roman" w:hAnsi="Times New Roman" w:eastAsia="MS Mincho"/>
          <w:b w:val="0"/>
          <w:i w:val="0"/>
          <w:sz w:val="20"/>
        </w:rPr>
        <w:t>Inklaar, R., &amp; Timmer, M. P. (2013). Capital, labor and TFP in PWT 8.0 (Research Memorandum GD-144). Groningen Growth and Development Centre.</w:t>
      </w:r>
    </w:p>
    <w:p>
      <w:pPr>
        <w:spacing w:after="120" w:line="360" w:lineRule="auto"/>
        <w:ind w:firstLine="480"/>
      </w:pPr>
      <w:r>
        <w:rPr>
          <w:rFonts w:ascii="Times New Roman" w:hAnsi="Times New Roman" w:eastAsia="MS Mincho"/>
          <w:b w:val="0"/>
          <w:i w:val="0"/>
          <w:sz w:val="20"/>
        </w:rPr>
        <w:t xml:space="preserve">Jorgenson, D. W., &amp; Griliches, Z. (1967). The explanation of productivity change. </w:t>
      </w:r>
      <w:r>
        <w:rPr>
          <w:rFonts w:ascii="Times New Roman" w:hAnsi="Times New Roman" w:eastAsia="MS Mincho"/>
          <w:b w:val="0"/>
          <w:i/>
          <w:sz w:val="20"/>
        </w:rPr>
        <w:t>Review of Economic Studies</w:t>
      </w:r>
      <w:r>
        <w:rPr>
          <w:rFonts w:ascii="Times New Roman" w:hAnsi="Times New Roman" w:eastAsia="MS Mincho"/>
          <w:b w:val="0"/>
          <w:i w:val="0"/>
          <w:sz w:val="20"/>
        </w:rPr>
        <w:t xml:space="preserve">, </w:t>
      </w:r>
      <w:r>
        <w:rPr>
          <w:rFonts w:ascii="Times New Roman" w:hAnsi="Times New Roman" w:eastAsia="MS Mincho"/>
          <w:b w:val="0"/>
          <w:i/>
          <w:sz w:val="20"/>
        </w:rPr>
        <w:t>34</w:t>
      </w:r>
      <w:r>
        <w:rPr>
          <w:rFonts w:ascii="Times New Roman" w:hAnsi="Times New Roman" w:eastAsia="MS Mincho"/>
          <w:b w:val="0"/>
          <w:i w:val="0"/>
          <w:sz w:val="20"/>
        </w:rPr>
        <w:t>(3), 249–283. https://doi.org/10.2307/2296675</w:t>
      </w:r>
    </w:p>
    <w:p>
      <w:pPr>
        <w:spacing w:after="120" w:line="360" w:lineRule="auto"/>
        <w:ind w:firstLine="480"/>
      </w:pPr>
      <w:r>
        <w:rPr>
          <w:rFonts w:ascii="Times New Roman" w:hAnsi="Times New Roman" w:eastAsia="MS Mincho"/>
          <w:b w:val="0"/>
          <w:i w:val="0"/>
          <w:sz w:val="20"/>
        </w:rPr>
        <w:t xml:space="preserve">Jorgenson, D. W. (2018). Production and welfare: Progress in economic measurement. </w:t>
      </w:r>
      <w:r>
        <w:rPr>
          <w:rFonts w:ascii="Times New Roman" w:hAnsi="Times New Roman" w:eastAsia="MS Mincho"/>
          <w:b w:val="0"/>
          <w:i/>
          <w:sz w:val="20"/>
        </w:rPr>
        <w:t>Journal of Economic Literature</w:t>
      </w:r>
      <w:r>
        <w:rPr>
          <w:rFonts w:ascii="Times New Roman" w:hAnsi="Times New Roman" w:eastAsia="MS Mincho"/>
          <w:b w:val="0"/>
          <w:i w:val="0"/>
          <w:sz w:val="20"/>
        </w:rPr>
        <w:t xml:space="preserve">, </w:t>
      </w:r>
      <w:r>
        <w:rPr>
          <w:rFonts w:ascii="Times New Roman" w:hAnsi="Times New Roman" w:eastAsia="MS Mincho"/>
          <w:b w:val="0"/>
          <w:i/>
          <w:sz w:val="20"/>
        </w:rPr>
        <w:t>56</w:t>
      </w:r>
      <w:r>
        <w:rPr>
          <w:rFonts w:ascii="Times New Roman" w:hAnsi="Times New Roman" w:eastAsia="MS Mincho"/>
          <w:b w:val="0"/>
          <w:i w:val="0"/>
          <w:sz w:val="20"/>
        </w:rPr>
        <w:t>(3), 867–919. https://doi.org/10.1257/jel.20171358</w:t>
      </w:r>
    </w:p>
    <w:p>
      <w:pPr>
        <w:spacing w:after="120" w:line="360" w:lineRule="auto"/>
        <w:ind w:firstLine="480"/>
      </w:pPr>
      <w:r>
        <w:rPr>
          <w:rFonts w:ascii="Times New Roman" w:hAnsi="Times New Roman" w:eastAsia="MS Mincho"/>
          <w:b w:val="0"/>
          <w:i w:val="0"/>
          <w:sz w:val="20"/>
        </w:rPr>
        <w:t xml:space="preserve">Jorgenson, D. W., Ho, M. S., &amp; Stiroh, K. J. (2005). </w:t>
      </w:r>
      <w:r>
        <w:rPr>
          <w:rFonts w:ascii="Times New Roman" w:hAnsi="Times New Roman" w:eastAsia="MS Mincho"/>
          <w:b w:val="0"/>
          <w:i/>
          <w:sz w:val="20"/>
        </w:rPr>
        <w:t>Productivity, Vol. 3: Information technology and the American growth resurgence</w:t>
      </w:r>
      <w:r>
        <w:rPr>
          <w:rFonts w:ascii="Times New Roman" w:hAnsi="Times New Roman" w:eastAsia="MS Mincho"/>
          <w:b w:val="0"/>
          <w:i w:val="0"/>
          <w:sz w:val="20"/>
        </w:rPr>
        <w:t>. MIT Press.</w:t>
      </w:r>
    </w:p>
    <w:p>
      <w:pPr>
        <w:spacing w:after="120" w:line="360" w:lineRule="auto"/>
        <w:ind w:firstLine="480"/>
      </w:pPr>
      <w:r>
        <w:rPr>
          <w:rFonts w:ascii="Times New Roman" w:hAnsi="Times New Roman" w:eastAsia="MS Mincho"/>
          <w:b w:val="0"/>
          <w:i w:val="0"/>
          <w:sz w:val="20"/>
        </w:rPr>
        <w:t xml:space="preserve">Kaboski, J. P. (2005). Factor price uncertainty, technology choice and investment delay. </w:t>
      </w:r>
      <w:r>
        <w:rPr>
          <w:rFonts w:ascii="Times New Roman" w:hAnsi="Times New Roman" w:eastAsia="MS Mincho"/>
          <w:b w:val="0"/>
          <w:i/>
          <w:sz w:val="20"/>
        </w:rPr>
        <w:t>Journal of Economic Dynamics and Control</w:t>
      </w:r>
      <w:r>
        <w:rPr>
          <w:rFonts w:ascii="Times New Roman" w:hAnsi="Times New Roman" w:eastAsia="MS Mincho"/>
          <w:b w:val="0"/>
          <w:i w:val="0"/>
          <w:sz w:val="20"/>
        </w:rPr>
        <w:t xml:space="preserve">, </w:t>
      </w:r>
      <w:r>
        <w:rPr>
          <w:rFonts w:ascii="Times New Roman" w:hAnsi="Times New Roman" w:eastAsia="MS Mincho"/>
          <w:b w:val="0"/>
          <w:i/>
          <w:sz w:val="20"/>
        </w:rPr>
        <w:t>29</w:t>
      </w:r>
      <w:r>
        <w:rPr>
          <w:rFonts w:ascii="Times New Roman" w:hAnsi="Times New Roman" w:eastAsia="MS Mincho"/>
          <w:b w:val="0"/>
          <w:i w:val="0"/>
          <w:sz w:val="20"/>
        </w:rPr>
        <w:t>(3), 509–527. https://doi.org/10.1016/j.jedc.2004.03.001</w:t>
      </w:r>
    </w:p>
    <w:p>
      <w:pPr>
        <w:spacing w:after="120" w:line="360" w:lineRule="auto"/>
        <w:ind w:firstLine="480"/>
      </w:pPr>
      <w:r>
        <w:rPr>
          <w:rFonts w:ascii="Times New Roman" w:hAnsi="Times New Roman" w:eastAsia="MS Mincho"/>
          <w:b w:val="0"/>
          <w:i w:val="0"/>
          <w:sz w:val="20"/>
        </w:rPr>
        <w:t xml:space="preserve">Karabarbounis, L., &amp; Neiman, B. (2014). The global decline of the labor share. </w:t>
      </w:r>
      <w:r>
        <w:rPr>
          <w:rFonts w:ascii="Times New Roman" w:hAnsi="Times New Roman" w:eastAsia="MS Mincho"/>
          <w:b w:val="0"/>
          <w:i/>
          <w:sz w:val="20"/>
        </w:rPr>
        <w:t>Quarterly Journal of Economics</w:t>
      </w:r>
      <w:r>
        <w:rPr>
          <w:rFonts w:ascii="Times New Roman" w:hAnsi="Times New Roman" w:eastAsia="MS Mincho"/>
          <w:b w:val="0"/>
          <w:i w:val="0"/>
          <w:sz w:val="20"/>
        </w:rPr>
        <w:t xml:space="preserve">, </w:t>
      </w:r>
      <w:r>
        <w:rPr>
          <w:rFonts w:ascii="Times New Roman" w:hAnsi="Times New Roman" w:eastAsia="MS Mincho"/>
          <w:b w:val="0"/>
          <w:i/>
          <w:sz w:val="20"/>
        </w:rPr>
        <w:t>129</w:t>
      </w:r>
      <w:r>
        <w:rPr>
          <w:rFonts w:ascii="Times New Roman" w:hAnsi="Times New Roman" w:eastAsia="MS Mincho"/>
          <w:b w:val="0"/>
          <w:i w:val="0"/>
          <w:sz w:val="20"/>
        </w:rPr>
        <w:t>(1), 61–103. https://doi.org/10.1093/qje/qjt032</w:t>
      </w:r>
    </w:p>
    <w:p>
      <w:pPr>
        <w:spacing w:after="120" w:line="360" w:lineRule="auto"/>
        <w:ind w:firstLine="480"/>
      </w:pPr>
      <w:r>
        <w:rPr>
          <w:rFonts w:ascii="Times New Roman" w:hAnsi="Times New Roman" w:eastAsia="MS Mincho"/>
          <w:b w:val="0"/>
          <w:i w:val="0"/>
          <w:sz w:val="20"/>
        </w:rPr>
        <w:t>Koeva, P. (2000). The facts about time-to-build (IMF Working Paper 00/138). International Monetary Fund.</w:t>
      </w:r>
    </w:p>
    <w:p>
      <w:pPr>
        <w:spacing w:after="120" w:line="360" w:lineRule="auto"/>
        <w:ind w:firstLine="480"/>
      </w:pPr>
      <w:r>
        <w:rPr>
          <w:rFonts w:ascii="Times New Roman" w:hAnsi="Times New Roman" w:eastAsia="MS Mincho"/>
          <w:b w:val="0"/>
          <w:i w:val="0"/>
          <w:sz w:val="20"/>
        </w:rPr>
        <w:t xml:space="preserve">Kohler, H.-P., Billari, F. C., &amp; Ortega, J. A. (2002). The emergence of lowest-low fertility in Europe during the 1990s. </w:t>
      </w:r>
      <w:r>
        <w:rPr>
          <w:rFonts w:ascii="Times New Roman" w:hAnsi="Times New Roman" w:eastAsia="MS Mincho"/>
          <w:b w:val="0"/>
          <w:i/>
          <w:sz w:val="20"/>
        </w:rPr>
        <w:t>Population and Development Review</w:t>
      </w:r>
      <w:r>
        <w:rPr>
          <w:rFonts w:ascii="Times New Roman" w:hAnsi="Times New Roman" w:eastAsia="MS Mincho"/>
          <w:b w:val="0"/>
          <w:i w:val="0"/>
          <w:sz w:val="20"/>
        </w:rPr>
        <w:t xml:space="preserve">, </w:t>
      </w:r>
      <w:r>
        <w:rPr>
          <w:rFonts w:ascii="Times New Roman" w:hAnsi="Times New Roman" w:eastAsia="MS Mincho"/>
          <w:b w:val="0"/>
          <w:i/>
          <w:sz w:val="20"/>
        </w:rPr>
        <w:t>28</w:t>
      </w:r>
      <w:r>
        <w:rPr>
          <w:rFonts w:ascii="Times New Roman" w:hAnsi="Times New Roman" w:eastAsia="MS Mincho"/>
          <w:b w:val="0"/>
          <w:i w:val="0"/>
          <w:sz w:val="20"/>
        </w:rPr>
        <w:t>(4), 641–680. https://doi.org/10.1111/j.1728-4457.2002.00641.x</w:t>
      </w:r>
    </w:p>
    <w:p>
      <w:pPr>
        <w:spacing w:after="120" w:line="360" w:lineRule="auto"/>
        <w:ind w:firstLine="480"/>
      </w:pPr>
      <w:r>
        <w:rPr>
          <w:rFonts w:ascii="Times New Roman" w:hAnsi="Times New Roman" w:eastAsia="MS Mincho"/>
          <w:b w:val="0"/>
          <w:i w:val="0"/>
          <w:sz w:val="20"/>
        </w:rPr>
        <w:t xml:space="preserve">Kydland, F. E., &amp; Prescott, E. C. (1982). Time to build and aggregate fluctuations. </w:t>
      </w:r>
      <w:r>
        <w:rPr>
          <w:rFonts w:ascii="Times New Roman" w:hAnsi="Times New Roman" w:eastAsia="MS Mincho"/>
          <w:b w:val="0"/>
          <w:i/>
          <w:sz w:val="20"/>
        </w:rPr>
        <w:t>Econometrica</w:t>
      </w:r>
      <w:r>
        <w:rPr>
          <w:rFonts w:ascii="Times New Roman" w:hAnsi="Times New Roman" w:eastAsia="MS Mincho"/>
          <w:b w:val="0"/>
          <w:i w:val="0"/>
          <w:sz w:val="20"/>
        </w:rPr>
        <w:t xml:space="preserve">, </w:t>
      </w:r>
      <w:r>
        <w:rPr>
          <w:rFonts w:ascii="Times New Roman" w:hAnsi="Times New Roman" w:eastAsia="MS Mincho"/>
          <w:b w:val="0"/>
          <w:i/>
          <w:sz w:val="20"/>
        </w:rPr>
        <w:t>50</w:t>
      </w:r>
      <w:r>
        <w:rPr>
          <w:rFonts w:ascii="Times New Roman" w:hAnsi="Times New Roman" w:eastAsia="MS Mincho"/>
          <w:b w:val="0"/>
          <w:i w:val="0"/>
          <w:sz w:val="20"/>
        </w:rPr>
        <w:t>(6), 1345–1370. https://doi.org/10.2307/1913386</w:t>
      </w:r>
    </w:p>
    <w:p>
      <w:pPr>
        <w:spacing w:after="120" w:line="360" w:lineRule="auto"/>
        <w:ind w:firstLine="480"/>
      </w:pPr>
      <w:r>
        <w:rPr>
          <w:rFonts w:ascii="Times New Roman" w:hAnsi="Times New Roman" w:eastAsia="MS Mincho"/>
          <w:b w:val="0"/>
          <w:i w:val="0"/>
          <w:sz w:val="20"/>
        </w:rPr>
        <w:t xml:space="preserve">Lange, G.-M., Cust, J., Herrera, D., Naikal, E., &amp; Peszko, G. (Eds.). (2021). </w:t>
      </w:r>
      <w:r>
        <w:rPr>
          <w:rFonts w:ascii="Times New Roman" w:hAnsi="Times New Roman" w:eastAsia="MS Mincho"/>
          <w:b w:val="0"/>
          <w:i/>
          <w:sz w:val="20"/>
        </w:rPr>
        <w:t>The changing wealth of nations 2021: Managing assets for the future</w:t>
      </w:r>
      <w:r>
        <w:rPr>
          <w:rFonts w:ascii="Times New Roman" w:hAnsi="Times New Roman" w:eastAsia="MS Mincho"/>
          <w:b w:val="0"/>
          <w:i w:val="0"/>
          <w:sz w:val="20"/>
        </w:rPr>
        <w:t>. World Bank. https://doi.org/10.1596/978-1-4648-1590-4</w:t>
      </w:r>
    </w:p>
    <w:p>
      <w:pPr>
        <w:spacing w:after="120" w:line="360" w:lineRule="auto"/>
        <w:ind w:firstLine="480"/>
      </w:pPr>
      <w:r>
        <w:rPr>
          <w:rFonts w:ascii="Times New Roman" w:hAnsi="Times New Roman" w:eastAsia="MS Mincho"/>
          <w:b w:val="0"/>
          <w:i w:val="0"/>
          <w:sz w:val="20"/>
        </w:rPr>
        <w:t xml:space="preserve">Managi, S., &amp; Kumar, P. (Eds.). (2018). </w:t>
      </w:r>
      <w:r>
        <w:rPr>
          <w:rFonts w:ascii="Times New Roman" w:hAnsi="Times New Roman" w:eastAsia="MS Mincho"/>
          <w:b w:val="0"/>
          <w:i/>
          <w:sz w:val="20"/>
        </w:rPr>
        <w:t>Inclusive wealth report 2018</w:t>
      </w:r>
      <w:r>
        <w:rPr>
          <w:rFonts w:ascii="Times New Roman" w:hAnsi="Times New Roman" w:eastAsia="MS Mincho"/>
          <w:b w:val="0"/>
          <w:i w:val="0"/>
          <w:sz w:val="20"/>
        </w:rPr>
        <w:t>. Routledge.</w:t>
      </w:r>
    </w:p>
    <w:p>
      <w:pPr>
        <w:spacing w:after="120" w:line="360" w:lineRule="auto"/>
        <w:ind w:firstLine="480"/>
      </w:pPr>
      <w:r>
        <w:rPr>
          <w:rFonts w:ascii="Times New Roman" w:hAnsi="Times New Roman" w:eastAsia="MS Mincho"/>
          <w:b w:val="0"/>
          <w:i w:val="0"/>
          <w:sz w:val="20"/>
        </w:rPr>
        <w:t xml:space="preserve">Mayer, T. (1960). Plant and equipment lead times. </w:t>
      </w:r>
      <w:r>
        <w:rPr>
          <w:rFonts w:ascii="Times New Roman" w:hAnsi="Times New Roman" w:eastAsia="MS Mincho"/>
          <w:b w:val="0"/>
          <w:i/>
          <w:sz w:val="20"/>
        </w:rPr>
        <w:t>Journal of Business</w:t>
      </w:r>
      <w:r>
        <w:rPr>
          <w:rFonts w:ascii="Times New Roman" w:hAnsi="Times New Roman" w:eastAsia="MS Mincho"/>
          <w:b w:val="0"/>
          <w:i w:val="0"/>
          <w:sz w:val="20"/>
        </w:rPr>
        <w:t xml:space="preserve">, </w:t>
      </w:r>
      <w:r>
        <w:rPr>
          <w:rFonts w:ascii="Times New Roman" w:hAnsi="Times New Roman" w:eastAsia="MS Mincho"/>
          <w:b w:val="0"/>
          <w:i/>
          <w:sz w:val="20"/>
        </w:rPr>
        <w:t>33</w:t>
      </w:r>
      <w:r>
        <w:rPr>
          <w:rFonts w:ascii="Times New Roman" w:hAnsi="Times New Roman" w:eastAsia="MS Mincho"/>
          <w:b w:val="0"/>
          <w:i w:val="0"/>
          <w:sz w:val="20"/>
        </w:rPr>
        <w:t>(2), 127–132. https://doi.org/10.1086/294329</w:t>
      </w:r>
    </w:p>
    <w:p>
      <w:pPr>
        <w:spacing w:after="120" w:line="360" w:lineRule="auto"/>
        <w:ind w:firstLine="480"/>
      </w:pPr>
      <w:r>
        <w:rPr>
          <w:rFonts w:ascii="Times New Roman" w:hAnsi="Times New Roman" w:eastAsia="MS Mincho"/>
          <w:b w:val="0"/>
          <w:i w:val="0"/>
          <w:sz w:val="20"/>
        </w:rPr>
        <w:t xml:space="preserve">McGrattan, E. R., &amp; Prescott, E. C. (2010). Unmeasured investment and the puzzling US boom in the 1990s. </w:t>
      </w:r>
      <w:r>
        <w:rPr>
          <w:rFonts w:ascii="Times New Roman" w:hAnsi="Times New Roman" w:eastAsia="MS Mincho"/>
          <w:b w:val="0"/>
          <w:i/>
          <w:sz w:val="20"/>
        </w:rPr>
        <w:t>American Economic Journal: Macroeconomics</w:t>
      </w:r>
      <w:r>
        <w:rPr>
          <w:rFonts w:ascii="Times New Roman" w:hAnsi="Times New Roman" w:eastAsia="MS Mincho"/>
          <w:b w:val="0"/>
          <w:i w:val="0"/>
          <w:sz w:val="20"/>
        </w:rPr>
        <w:t xml:space="preserve">, </w:t>
      </w:r>
      <w:r>
        <w:rPr>
          <w:rFonts w:ascii="Times New Roman" w:hAnsi="Times New Roman" w:eastAsia="MS Mincho"/>
          <w:b w:val="0"/>
          <w:i/>
          <w:sz w:val="20"/>
        </w:rPr>
        <w:t>2</w:t>
      </w:r>
      <w:r>
        <w:rPr>
          <w:rFonts w:ascii="Times New Roman" w:hAnsi="Times New Roman" w:eastAsia="MS Mincho"/>
          <w:b w:val="0"/>
          <w:i w:val="0"/>
          <w:sz w:val="20"/>
        </w:rPr>
        <w:t>(4), 88–123. https://doi.org/10.1257/mac.2.4.88</w:t>
      </w:r>
    </w:p>
    <w:p>
      <w:pPr>
        <w:spacing w:after="120" w:line="360" w:lineRule="auto"/>
        <w:ind w:firstLine="480"/>
      </w:pPr>
      <w:r>
        <w:rPr>
          <w:rFonts w:ascii="Times New Roman" w:hAnsi="Times New Roman" w:eastAsia="MS Mincho"/>
          <w:b w:val="0"/>
          <w:i w:val="0"/>
          <w:sz w:val="20"/>
        </w:rPr>
        <w:t xml:space="preserve">OECD. (2013). </w:t>
      </w:r>
      <w:r>
        <w:rPr>
          <w:rFonts w:ascii="Times New Roman" w:hAnsi="Times New Roman" w:eastAsia="MS Mincho"/>
          <w:b w:val="0"/>
          <w:i/>
          <w:sz w:val="20"/>
        </w:rPr>
        <w:t>Supporting investment in knowledge capital, growth and innovation</w:t>
      </w:r>
      <w:r>
        <w:rPr>
          <w:rFonts w:ascii="Times New Roman" w:hAnsi="Times New Roman" w:eastAsia="MS Mincho"/>
          <w:b w:val="0"/>
          <w:i w:val="0"/>
          <w:sz w:val="20"/>
        </w:rPr>
        <w:t>. OECD Publishing. https://doi.org/10.1787/9789264193307-en</w:t>
      </w:r>
    </w:p>
    <w:p>
      <w:pPr>
        <w:spacing w:after="120" w:line="360" w:lineRule="auto"/>
        <w:ind w:firstLine="480"/>
      </w:pPr>
      <w:r>
        <w:rPr>
          <w:rFonts w:ascii="Times New Roman" w:hAnsi="Times New Roman" w:eastAsia="MS Mincho"/>
          <w:b w:val="0"/>
          <w:i w:val="0"/>
          <w:sz w:val="20"/>
        </w:rPr>
        <w:t xml:space="preserve">Roth, F. (2022). Intangible capital and labor productivity growth – Revisiting the evidence: An update. </w:t>
      </w:r>
      <w:r>
        <w:rPr>
          <w:rFonts w:ascii="Times New Roman" w:hAnsi="Times New Roman" w:eastAsia="MS Mincho"/>
          <w:b w:val="0"/>
          <w:i/>
          <w:sz w:val="20"/>
        </w:rPr>
        <w:t>Hamburg Discussion Papers in International Economics</w:t>
      </w:r>
      <w:r>
        <w:rPr>
          <w:rFonts w:ascii="Times New Roman" w:hAnsi="Times New Roman" w:eastAsia="MS Mincho"/>
          <w:b w:val="0"/>
          <w:i w:val="0"/>
          <w:sz w:val="20"/>
        </w:rPr>
        <w:t xml:space="preserve">, </w:t>
      </w:r>
      <w:r>
        <w:rPr>
          <w:rFonts w:ascii="Times New Roman" w:hAnsi="Times New Roman" w:eastAsia="MS Mincho"/>
          <w:b w:val="0"/>
          <w:i/>
          <w:sz w:val="20"/>
        </w:rPr>
        <w:t>11</w:t>
      </w:r>
      <w:r>
        <w:rPr>
          <w:rFonts w:ascii="Times New Roman" w:hAnsi="Times New Roman" w:eastAsia="MS Mincho"/>
          <w:b w:val="0"/>
          <w:i w:val="0"/>
          <w:sz w:val="20"/>
        </w:rPr>
        <w:t>.</w:t>
      </w:r>
    </w:p>
    <w:p>
      <w:pPr>
        <w:spacing w:after="120" w:line="360" w:lineRule="auto"/>
        <w:ind w:firstLine="480"/>
      </w:pPr>
      <w:r>
        <w:rPr>
          <w:rFonts w:ascii="Times New Roman" w:hAnsi="Times New Roman" w:eastAsia="MS Mincho"/>
          <w:b w:val="0"/>
          <w:i w:val="0"/>
          <w:sz w:val="20"/>
        </w:rPr>
        <w:t xml:space="preserve">Shimizu, C., &amp; Nishimura, K. G. (2007). Pricing structure in Tokyo metropolitan land markets and its structural changes: Pre-bubble, bubble, and post-bubble periods. </w:t>
      </w:r>
      <w:r>
        <w:rPr>
          <w:rFonts w:ascii="Times New Roman" w:hAnsi="Times New Roman" w:eastAsia="MS Mincho"/>
          <w:b w:val="0"/>
          <w:i/>
          <w:sz w:val="20"/>
        </w:rPr>
        <w:t>Journal of Real Estate Finance and Economics</w:t>
      </w:r>
      <w:r>
        <w:rPr>
          <w:rFonts w:ascii="Times New Roman" w:hAnsi="Times New Roman" w:eastAsia="MS Mincho"/>
          <w:b w:val="0"/>
          <w:i w:val="0"/>
          <w:sz w:val="20"/>
        </w:rPr>
        <w:t xml:space="preserve">, </w:t>
      </w:r>
      <w:r>
        <w:rPr>
          <w:rFonts w:ascii="Times New Roman" w:hAnsi="Times New Roman" w:eastAsia="MS Mincho"/>
          <w:b w:val="0"/>
          <w:i/>
          <w:sz w:val="20"/>
        </w:rPr>
        <w:t>35</w:t>
      </w:r>
      <w:r>
        <w:rPr>
          <w:rFonts w:ascii="Times New Roman" w:hAnsi="Times New Roman" w:eastAsia="MS Mincho"/>
          <w:b w:val="0"/>
          <w:i w:val="0"/>
          <w:sz w:val="20"/>
        </w:rPr>
        <w:t>(4), 475–496. https://doi.org/10.1007/s11146-007-9052-8</w:t>
      </w:r>
    </w:p>
    <w:p>
      <w:pPr>
        <w:spacing w:after="120" w:line="360" w:lineRule="auto"/>
        <w:ind w:firstLine="480"/>
      </w:pPr>
      <w:r>
        <w:rPr>
          <w:rFonts w:ascii="Times New Roman" w:hAnsi="Times New Roman" w:eastAsia="MS Mincho"/>
          <w:b w:val="0"/>
          <w:i w:val="0"/>
          <w:sz w:val="20"/>
        </w:rPr>
        <w:t xml:space="preserve">Solow, R. M. (1957). Technical change and the aggregate production function. </w:t>
      </w:r>
      <w:r>
        <w:rPr>
          <w:rFonts w:ascii="Times New Roman" w:hAnsi="Times New Roman" w:eastAsia="MS Mincho"/>
          <w:b w:val="0"/>
          <w:i/>
          <w:sz w:val="20"/>
        </w:rPr>
        <w:t>Review of Economics and Statistics</w:t>
      </w:r>
      <w:r>
        <w:rPr>
          <w:rFonts w:ascii="Times New Roman" w:hAnsi="Times New Roman" w:eastAsia="MS Mincho"/>
          <w:b w:val="0"/>
          <w:i w:val="0"/>
          <w:sz w:val="20"/>
        </w:rPr>
        <w:t xml:space="preserve">, </w:t>
      </w:r>
      <w:r>
        <w:rPr>
          <w:rFonts w:ascii="Times New Roman" w:hAnsi="Times New Roman" w:eastAsia="MS Mincho"/>
          <w:b w:val="0"/>
          <w:i/>
          <w:sz w:val="20"/>
        </w:rPr>
        <w:t>39</w:t>
      </w:r>
      <w:r>
        <w:rPr>
          <w:rFonts w:ascii="Times New Roman" w:hAnsi="Times New Roman" w:eastAsia="MS Mincho"/>
          <w:b w:val="0"/>
          <w:i w:val="0"/>
          <w:sz w:val="20"/>
        </w:rPr>
        <w:t>(3), 312–320. https://doi.org/10.2307/1926047</w:t>
      </w:r>
    </w:p>
    <w:p>
      <w:pPr>
        <w:spacing w:after="120" w:line="360" w:lineRule="auto"/>
        <w:ind w:firstLine="480"/>
      </w:pPr>
      <w:r>
        <w:rPr>
          <w:rFonts w:ascii="Times New Roman" w:hAnsi="Times New Roman" w:eastAsia="MS Mincho"/>
          <w:b w:val="0"/>
          <w:i w:val="0"/>
          <w:sz w:val="20"/>
        </w:rPr>
        <w:t xml:space="preserve">Stiglitz, J. E., Sen, A., &amp; Fitoussi, J.-P. (2009). </w:t>
      </w:r>
      <w:r>
        <w:rPr>
          <w:rFonts w:ascii="Times New Roman" w:hAnsi="Times New Roman" w:eastAsia="MS Mincho"/>
          <w:b w:val="0"/>
          <w:i/>
          <w:sz w:val="20"/>
        </w:rPr>
        <w:t>Report by the Commission on the Measurement of Economic Performance and Social Progress</w:t>
      </w:r>
      <w:r>
        <w:rPr>
          <w:rFonts w:ascii="Times New Roman" w:hAnsi="Times New Roman" w:eastAsia="MS Mincho"/>
          <w:b w:val="0"/>
          <w:i w:val="0"/>
          <w:sz w:val="20"/>
        </w:rPr>
        <w:t>. Commission on the Measurement of Economic Performance and Social Progress.</w:t>
      </w:r>
    </w:p>
    <w:p>
      <w:pPr>
        <w:spacing w:after="120" w:line="360" w:lineRule="auto"/>
        <w:ind w:firstLine="480"/>
      </w:pPr>
      <w:r>
        <w:rPr>
          <w:rFonts w:ascii="Times New Roman" w:hAnsi="Times New Roman" w:eastAsia="MS Mincho"/>
          <w:b w:val="0"/>
          <w:i w:val="0"/>
          <w:sz w:val="20"/>
        </w:rPr>
        <w:t xml:space="preserve">United Nations, European Commission, International Monetary Fund, Organisation for Economic Co-operation and Development, &amp; World Bank. (2009). </w:t>
      </w:r>
      <w:r>
        <w:rPr>
          <w:rFonts w:ascii="Times New Roman" w:hAnsi="Times New Roman" w:eastAsia="MS Mincho"/>
          <w:b w:val="0"/>
          <w:i/>
          <w:sz w:val="20"/>
        </w:rPr>
        <w:t>System of National Accounts 2008</w:t>
      </w:r>
      <w:r>
        <w:rPr>
          <w:rFonts w:ascii="Times New Roman" w:hAnsi="Times New Roman" w:eastAsia="MS Mincho"/>
          <w:b w:val="0"/>
          <w:i w:val="0"/>
          <w:sz w:val="20"/>
        </w:rPr>
        <w:t>. United Nations. https://unstats.un.org/unsd/nationalaccount/docs/SNA2008.pdf</w:t>
      </w:r>
    </w:p>
    <w:sectPr w:rsidR="00FC693F" w:rsidRPr="0006063C" w:rsidSect="00034616">
      <w:footerReference w:type="default" r:id="rId14"/>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jc w:val="center"/>
    </w:pPr>
    <w:r/>
    <w:fldSimple w:instr="PAGE \* MERGEFORMAT">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