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360" w:lineRule="auto"/>
        <w:ind w:firstLine="0"/>
        <w:jc w:val="center"/>
      </w:pPr>
      <w:r>
        <w:rPr>
          <w:rFonts w:ascii="Times New Roman" w:hAnsi="Times New Roman" w:eastAsia="MS Mincho"/>
          <w:b/>
          <w:i w:val="0"/>
          <w:sz w:val="32"/>
        </w:rPr>
        <w:t>Supporting Information</w:t>
      </w:r>
    </w:p>
    <w:p>
      <w:pPr>
        <w:spacing w:before="360" w:after="120" w:line="360" w:lineRule="auto"/>
        <w:ind w:firstLine="0"/>
        <w:jc w:val="left"/>
      </w:pPr>
      <w:r>
        <w:rPr>
          <w:rFonts w:ascii="Times New Roman" w:hAnsi="Times New Roman" w:eastAsia="MS Mincho"/>
          <w:b/>
          <w:i w:val="0"/>
          <w:sz w:val="24"/>
        </w:rPr>
        <w:t>S.1 Population–capital correspondence (Supplementary Table 1)</w:t>
      </w:r>
    </w:p>
    <w:p>
      <w:pPr>
        <w:spacing w:after="120" w:line="360" w:lineRule="auto"/>
        <w:ind w:firstLine="480"/>
      </w:pPr>
      <w:r>
        <w:rPr>
          <w:rFonts w:ascii="Times New Roman" w:hAnsi="Times New Roman" w:eastAsia="MS Mincho"/>
          <w:b w:val="0"/>
          <w:i w:val="0"/>
          <w:sz w:val="20"/>
        </w:rPr>
        <w:t>Supplementary Table 1 reports the one-to-one mapping between demographic and capital-accounting variables used in Sect. 3.4 of the main text.</w:t>
      </w:r>
    </w:p>
    <w:p>
      <w:pPr>
        <w:spacing w:before="360" w:after="120" w:line="360" w:lineRule="auto"/>
        <w:ind w:firstLine="0"/>
        <w:jc w:val="left"/>
      </w:pPr>
      <w:r>
        <w:rPr>
          <w:rFonts w:ascii="Times New Roman" w:hAnsi="Times New Roman" w:eastAsia="MS Mincho"/>
          <w:b/>
          <w:i w:val="0"/>
          <w:sz w:val="24"/>
        </w:rPr>
        <w:t>S.2 Observable asset-lag robustness (Supplementary Table 2)</w:t>
      </w:r>
    </w:p>
    <w:p>
      <w:pPr>
        <w:spacing w:after="120" w:line="360" w:lineRule="auto"/>
        <w:ind w:firstLine="480"/>
      </w:pPr>
      <w:r>
        <w:rPr>
          <w:rFonts w:ascii="Times New Roman" w:hAnsi="Times New Roman" w:eastAsia="MS Mincho"/>
          <w:b w:val="0"/>
          <w:i w:val="0"/>
          <w:sz w:val="20"/>
        </w:rPr>
        <w:t xml:space="preserve">Supplementary Table 2 reports the out-of-sample MAPE of the observable-tempo model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when the asset-specific gestation lags taken from the literature are scaled by factors from 0.5 to 2.0. The median MAPE remains below 4.4 % across all scaling factors, confirming that the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correction is robust to moderate misspecification of individual asset lags.</w:t>
      </w:r>
    </w:p>
    <w:p>
      <w:pPr>
        <w:spacing w:before="360" w:after="120" w:line="360" w:lineRule="auto"/>
        <w:ind w:firstLine="0"/>
        <w:jc w:val="left"/>
      </w:pPr>
      <w:r>
        <w:rPr>
          <w:rFonts w:ascii="Times New Roman" w:hAnsi="Times New Roman" w:eastAsia="MS Mincho"/>
          <w:b/>
          <w:i w:val="0"/>
          <w:sz w:val="24"/>
        </w:rPr>
        <w:t>S.3 In-sample growth RMSE ranking (Supplementary Figure 1)</w:t>
      </w:r>
    </w:p>
    <w:p>
      <w:pPr>
        <w:spacing w:before="360" w:after="120"/>
        <w:jc w:val="center"/>
      </w:pPr>
      <w:r>
        <w:drawing>
          <wp:inline xmlns:a="http://schemas.openxmlformats.org/drawingml/2006/main" xmlns:pic="http://schemas.openxmlformats.org/drawingml/2006/picture">
            <wp:extent cx="5669280" cy="4638502"/>
            <wp:docPr id="1" name="Picture 1"/>
            <wp:cNvGraphicFramePr>
              <a:graphicFrameLocks noChangeAspect="1"/>
            </wp:cNvGraphicFramePr>
            <a:graphic>
              <a:graphicData uri="http://schemas.openxmlformats.org/drawingml/2006/picture">
                <pic:pic>
                  <pic:nvPicPr>
                    <pic:cNvPr id="0" name="fig1_m_ranking_en.png"/>
                    <pic:cNvPicPr/>
                  </pic:nvPicPr>
                  <pic:blipFill>
                    <a:blip r:embed="rId9"/>
                    <a:stretch>
                      <a:fillRect/>
                    </a:stretch>
                  </pic:blipFill>
                  <pic:spPr>
                    <a:xfrm>
                      <a:off x="0" y="0"/>
                      <a:ext cx="5669280" cy="4638502"/>
                    </a:xfrm>
                    <a:prstGeom prst="rect"/>
                  </pic:spPr>
                </pic:pic>
              </a:graphicData>
            </a:graphic>
          </wp:inline>
        </w:drawing>
      </w:r>
    </w:p>
    <w:p>
      <w:pPr>
        <w:spacing w:after="240"/>
        <w:jc w:val="center"/>
      </w:pPr>
      <w:r>
        <w:rPr>
          <w:rFonts w:ascii="Times New Roman" w:hAnsi="Times New Roman" w:eastAsia="MS Mincho"/>
          <w:b/>
          <w:i w:val="0"/>
          <w:sz w:val="20"/>
        </w:rPr>
        <w:t xml:space="preserve">Supplementary Fig. 1. </w:t>
      </w:r>
      <w:r>
        <w:rPr>
          <w:rFonts w:ascii="Times New Roman" w:hAnsi="Times New Roman" w:eastAsia="MS Mincho"/>
          <w:b w:val="0"/>
          <w:i w:val="0"/>
          <w:sz w:val="20"/>
        </w:rPr>
        <w:t>In-sample 1-year GDP growth RMSE across M0–M4 for 39 countries (lower is better).</w:t>
      </w:r>
    </w:p>
    <w:p>
      <w:pPr>
        <w:spacing w:after="120" w:line="360" w:lineRule="auto"/>
        <w:ind w:firstLine="480"/>
      </w:pPr>
      <w:r>
        <w:rPr>
          <w:rFonts w:ascii="Times New Roman" w:hAnsi="Times New Roman" w:eastAsia="MS Mincho"/>
          <w:b w:val="0"/>
          <w:i w:val="0"/>
          <w:sz w:val="20"/>
        </w:rPr>
        <w:t xml:space="preserve">Supplementary Figure 1 ranks the 39 countries by in-sample growth RMSE under M0 and overlays M1–M4 and </w:t>
      </w:r>
      <m:oMath xmlns:mml="http://www.w3.org/1998/Math/MathML">
        <m:box>
          <m:e>
            <m:sSub>
              <m:e>
                <m:r>
                  <m:rPr>
                    <m:sty m:val="i"/>
                  </m:rPr>
                  <m:t>M</m:t>
                </m:r>
              </m:e>
              <m:sub>
                <m:box>
                  <m:e>
                    <m:r>
                      <m:rPr>
                        <m:sty m:val="i"/>
                      </m:rPr>
                      <m:t>o</m:t>
                    </m:r>
                    <m:r>
                      <m:rPr>
                        <m:sty m:val="i"/>
                      </m:rPr>
                      <m:t>b</m:t>
                    </m:r>
                    <m:r>
                      <m:rPr>
                        <m:sty m:val="i"/>
                      </m:rPr>
                      <m:t>s</m:t>
                    </m:r>
                  </m:e>
                </m:box>
              </m:sub>
            </m:sSub>
            <m:r>
              <m:rPr>
                <m:sty m:val="p"/>
              </m:rPr>
              <m:t>.</m:t>
            </m:r>
          </m:e>
        </m:box>
      </m:oMath>
    </w:p>
    <w:p>
      <w:pPr>
        <w:spacing w:before="360" w:after="120" w:line="360" w:lineRule="auto"/>
        <w:ind w:firstLine="0"/>
        <w:jc w:val="left"/>
      </w:pPr>
      <w:r>
        <w:rPr>
          <w:rFonts w:ascii="Times New Roman" w:hAnsi="Times New Roman" w:eastAsia="MS Mincho"/>
          <w:b/>
          <w:i w:val="0"/>
          <w:sz w:val="24"/>
        </w:rPr>
        <w:t>S.4 Historical episodes and counterfactual wealth narrative (Supplementary Tables 3 and 4)</w:t>
      </w:r>
    </w:p>
    <w:p>
      <w:pPr>
        <w:spacing w:after="120" w:line="360" w:lineRule="auto"/>
        <w:ind w:firstLine="480"/>
      </w:pPr>
      <w:r>
        <w:rPr>
          <w:rFonts w:ascii="Times New Roman" w:hAnsi="Times New Roman" w:eastAsia="MS Mincho"/>
          <w:b w:val="0"/>
          <w:i w:val="0"/>
          <w:sz w:val="20"/>
        </w:rPr>
        <w:t>Supplementary Table 3 translates the Solow-residual decomposition of Sect. 5.5 into concrete historical episodes. Episodes are selected from well-documented macroeconomic events in the largest OECD economies and the Republic of Korea — Japan's asset-price collapse and the global financial crisis, the United States dot-com boom and global financial crisis, Germany's reunification and global financial crisis, and the 1997–1999 Asian crisis — and are required to have at least three years of data. The selection deliberately contrasts high- and low-investment-gestation regimes and is not driven by the magnitude of the estimated artifact. The 1997–1999 Asian-crisis episode for the Republic of Korea shows the largest tempo artefact: the conventional M0 residual attributes positive TFP growth to the crisis years, but the tempo-corrected M2 and joint M4 series report much lower TFP growth, with the joint correction removing roughly three-quarters of the apparent productivity gain. For the United States, the dot-com boom and the global financial crisis display smaller and partly offsetting artefacts, while Japan's lost decade and the 2007–2009 crisis show no meaningful tempo artefact because investment composition was stable during those episodes.</w:t>
      </w:r>
    </w:p>
    <w:p>
      <w:pPr>
        <w:spacing w:after="120" w:line="360" w:lineRule="auto"/>
        <w:ind w:firstLine="480"/>
      </w:pPr>
      <w:r>
        <w:rPr>
          <w:rFonts w:ascii="Times New Roman" w:hAnsi="Times New Roman" w:eastAsia="MS Mincho"/>
          <w:b w:val="0"/>
          <w:i w:val="0"/>
          <w:sz w:val="20"/>
        </w:rPr>
        <w:t>Supplementary Table 4 reports the country-level wealth adjustment that would follow if the joint-identified intangible share beta were included in official produced-capital accounts. The adjustment is largest for the Netherlands, France and Norway (about 0.9–1.1 percent of produced capital), and smaller for economies with lower R&amp;D intensity. These are lower-bound adjustments because the intangible stock is proxied by R&amp;D expenditure only; Supplementary Table 4 therefore also reports 1.5×, 2.0× and 3.0× scalings of the R&amp;D-based proxy to bracket the broader intangible-capital totals reported by Corrado et al. (2005, 2009). Even the 3.0× scaling leaves the implied produced-capital revision below 4 % for all countries, confirming that the correction is quantitatively modest in aggregate but concentrated in the most innovation-intensive economies.</w:t>
      </w:r>
    </w:p>
    <w:p>
      <w:pPr>
        <w:spacing w:before="360" w:after="120" w:line="360" w:lineRule="auto"/>
        <w:ind w:firstLine="0"/>
        <w:jc w:val="left"/>
      </w:pPr>
      <w:r>
        <w:rPr>
          <w:rFonts w:ascii="Times New Roman" w:hAnsi="Times New Roman" w:eastAsia="MS Mincho"/>
          <w:b/>
          <w:i w:val="0"/>
          <w:sz w:val="24"/>
        </w:rPr>
        <w:t>S.5 Solow-residual variance decomposition (Supplementary Table 5)</w:t>
      </w:r>
    </w:p>
    <w:p>
      <w:pPr>
        <w:spacing w:after="120" w:line="360" w:lineRule="auto"/>
        <w:ind w:firstLine="480"/>
      </w:pPr>
      <w:r>
        <w:rPr>
          <w:rFonts w:ascii="Times New Roman" w:hAnsi="Times New Roman" w:eastAsia="MS Mincho"/>
          <w:b w:val="0"/>
          <w:i w:val="0"/>
          <w:sz w:val="20"/>
        </w:rPr>
        <w:t>Supplementary Table 5 reports the country-level percentage reduction in TFP-growth variance when moving from M0 to M2 (tempo drift only) and from M0 to M4 (joint tempo + intangible).</w:t>
      </w:r>
    </w:p>
    <w:p>
      <w:pPr>
        <w:spacing w:before="360" w:after="120" w:line="360" w:lineRule="auto"/>
        <w:ind w:firstLine="0"/>
        <w:jc w:val="left"/>
      </w:pPr>
      <w:r>
        <w:rPr>
          <w:rFonts w:ascii="Times New Roman" w:hAnsi="Times New Roman" w:eastAsia="MS Mincho"/>
          <w:b/>
          <w:i w:val="0"/>
          <w:sz w:val="24"/>
        </w:rPr>
        <w:t>S.6 TFP paths under alternative models (Supplementary Figure 2)</w:t>
      </w:r>
    </w:p>
    <w:p>
      <w:pPr>
        <w:spacing w:before="360" w:after="120"/>
        <w:jc w:val="center"/>
      </w:pPr>
      <w:r>
        <w:drawing>
          <wp:inline xmlns:a="http://schemas.openxmlformats.org/drawingml/2006/main" xmlns:pic="http://schemas.openxmlformats.org/drawingml/2006/picture">
            <wp:extent cx="5669280" cy="3356595"/>
            <wp:docPr id="2" name="Picture 2"/>
            <wp:cNvGraphicFramePr>
              <a:graphicFrameLocks noChangeAspect="1"/>
            </wp:cNvGraphicFramePr>
            <a:graphic>
              <a:graphicData uri="http://schemas.openxmlformats.org/drawingml/2006/picture">
                <pic:pic>
                  <pic:nvPicPr>
                    <pic:cNvPr id="0" name="fig13_solow_decomp_en.png"/>
                    <pic:cNvPicPr/>
                  </pic:nvPicPr>
                  <pic:blipFill>
                    <a:blip r:embed="rId10"/>
                    <a:stretch>
                      <a:fillRect/>
                    </a:stretch>
                  </pic:blipFill>
                  <pic:spPr>
                    <a:xfrm>
                      <a:off x="0" y="0"/>
                      <a:ext cx="5669280" cy="3356595"/>
                    </a:xfrm>
                    <a:prstGeom prst="rect"/>
                  </pic:spPr>
                </pic:pic>
              </a:graphicData>
            </a:graphic>
          </wp:inline>
        </w:drawing>
      </w:r>
    </w:p>
    <w:p>
      <w:pPr>
        <w:spacing w:after="240"/>
        <w:jc w:val="center"/>
      </w:pPr>
      <w:r>
        <w:rPr>
          <w:rFonts w:ascii="Times New Roman" w:hAnsi="Times New Roman" w:eastAsia="MS Mincho"/>
          <w:b/>
          <w:i w:val="0"/>
          <w:sz w:val="20"/>
        </w:rPr>
        <w:t xml:space="preserve">Supplementary Fig. 2. </w:t>
      </w:r>
      <w:r>
        <w:rPr>
          <w:rFonts w:ascii="Times New Roman" w:hAnsi="Times New Roman" w:eastAsia="MS Mincho"/>
          <w:b w:val="0"/>
          <w:i w:val="0"/>
          <w:sz w:val="20"/>
        </w:rPr>
        <w:t>Solow-residual decomposition: M0 vs tempo-adjusted (M2) vs joint (M4) for six representative countries.</w:t>
      </w:r>
    </w:p>
    <w:p>
      <w:pPr>
        <w:spacing w:after="120" w:line="360" w:lineRule="auto"/>
        <w:ind w:firstLine="480"/>
      </w:pPr>
      <w:r>
        <w:rPr>
          <w:rFonts w:ascii="Times New Roman" w:hAnsi="Times New Roman" w:eastAsia="MS Mincho"/>
          <w:b w:val="0"/>
          <w:i w:val="0"/>
          <w:sz w:val="20"/>
        </w:rPr>
        <w:t>Supplementary Figure 2 displays the time-series TFP paths for six representative countries (Japan, the United States, Germany, the Republic of Korea, the United Kingdom, and France) under M0, M2, and M4.</w:t>
      </w:r>
    </w:p>
    <w:p>
      <w:pPr>
        <w:spacing w:before="360" w:after="120" w:line="360" w:lineRule="auto"/>
        <w:ind w:firstLine="0"/>
        <w:jc w:val="left"/>
      </w:pPr>
      <w:r>
        <w:rPr>
          <w:rFonts w:ascii="Times New Roman" w:hAnsi="Times New Roman" w:eastAsia="MS Mincho"/>
          <w:b/>
          <w:i w:val="0"/>
          <w:sz w:val="24"/>
        </w:rPr>
        <w:t>S.7 Asset-composition determinants of RPIM diagnostics (Supplementary Figure 3)</w:t>
      </w:r>
    </w:p>
    <w:p>
      <w:pPr>
        <w:spacing w:before="360" w:after="120"/>
        <w:jc w:val="center"/>
      </w:pPr>
      <w:r>
        <w:drawing>
          <wp:inline xmlns:a="http://schemas.openxmlformats.org/drawingml/2006/main" xmlns:pic="http://schemas.openxmlformats.org/drawingml/2006/picture">
            <wp:extent cx="5669280" cy="2447014"/>
            <wp:docPr id="3" name="Picture 3"/>
            <wp:cNvGraphicFramePr>
              <a:graphicFrameLocks noChangeAspect="1"/>
            </wp:cNvGraphicFramePr>
            <a:graphic>
              <a:graphicData uri="http://schemas.openxmlformats.org/drawingml/2006/picture">
                <pic:pic>
                  <pic:nvPicPr>
                    <pic:cNvPr id="0" name="fig9_rho2_regression_en.png"/>
                    <pic:cNvPicPr/>
                  </pic:nvPicPr>
                  <pic:blipFill>
                    <a:blip r:embed="rId11"/>
                    <a:stretch>
                      <a:fillRect/>
                    </a:stretch>
                  </pic:blipFill>
                  <pic:spPr>
                    <a:xfrm>
                      <a:off x="0" y="0"/>
                      <a:ext cx="5669280" cy="2447014"/>
                    </a:xfrm>
                    <a:prstGeom prst="rect"/>
                  </pic:spPr>
                </pic:pic>
              </a:graphicData>
            </a:graphic>
          </wp:inline>
        </w:drawing>
      </w:r>
    </w:p>
    <w:p>
      <w:pPr>
        <w:spacing w:after="240"/>
        <w:jc w:val="center"/>
      </w:pPr>
      <w:r>
        <w:rPr>
          <w:rFonts w:ascii="Times New Roman" w:hAnsi="Times New Roman" w:eastAsia="MS Mincho"/>
          <w:b/>
          <w:i w:val="0"/>
          <w:sz w:val="20"/>
        </w:rPr>
        <w:t xml:space="preserve">Supplementary Fig. 3. </w:t>
      </w:r>
      <w:r>
        <w:rPr>
          <w:rFonts w:ascii="Times New Roman" w:hAnsi="Times New Roman" w:eastAsia="MS Mincho"/>
          <w:b w:val="0"/>
          <w:i w:val="0"/>
          <w:sz w:val="20"/>
        </w:rPr>
        <w:t>Cross-sectional regression of ρ̂₂ on R&amp;D intensity.</w:t>
      </w:r>
    </w:p>
    <w:p>
      <w:pPr>
        <w:spacing w:after="120" w:line="360" w:lineRule="auto"/>
        <w:ind w:firstLine="480"/>
      </w:pPr>
      <w:r>
        <w:rPr>
          <w:rFonts w:ascii="Times New Roman" w:hAnsi="Times New Roman" w:eastAsia="MS Mincho"/>
          <w:b w:val="0"/>
          <w:i w:val="0"/>
          <w:sz w:val="20"/>
        </w:rPr>
        <w:t xml:space="preserve">A natural question is whether the cross-country variation in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reflects observable differences in asset composition. Countries with a higher share of intangible and R&amp;D-intensive investment might be expected to show larger PIM–CWON divergences (lower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if their PIM construction omits intangibles, or higher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if the tempo and intangible corrections in M4 successfully account for the discrepancy.</w:t>
      </w:r>
    </w:p>
    <w:p>
      <w:pPr>
        <w:spacing w:after="120" w:line="360" w:lineRule="auto"/>
        <w:ind w:firstLine="480"/>
      </w:pPr>
      <w:r>
        <w:rPr>
          <w:rFonts w:ascii="Times New Roman" w:hAnsi="Times New Roman" w:eastAsia="MS Mincho"/>
          <w:b w:val="0"/>
          <w:i w:val="0"/>
          <w:sz w:val="20"/>
        </w:rPr>
        <w:t xml:space="preserve">Supplementary Figure 3 reports a cross-sectional OLS regression of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on mean R&amp;D expenditure as a share of GDP (World Bank WDI). Under M0, the slope is positive (0.054) but not significant at 5 % using heteroscedasticity-consistent (HC1) standard errors (robust SE = 0.034, t = 1.56, p = 0.128; OLS t = 1.82, R² = 0.082, n = 39). The non-parametric Spearman correlation is also borderline (</w:t>
      </w:r>
      <m:oMath xmlns:mml="http://www.w3.org/1998/Math/MathML">
        <m:box>
          <m:e>
            <m:r>
              <m:rPr>
                <m:sty m:val="i"/>
              </m:rPr>
              <m:t>ρ</m:t>
            </m:r>
            <m:r>
              <m:rPr>
                <m:sty m:val="p"/>
              </m:rPr>
              <m:t>=</m:t>
            </m:r>
            <m:r>
              <m:rPr>
                <m:sty m:val="p"/>
              </m:rPr>
              <m:t>0.29</m:t>
            </m:r>
          </m:e>
        </m:box>
      </m:oMath>
      <w:r>
        <w:rPr>
          <w:rFonts w:ascii="Times New Roman" w:hAnsi="Times New Roman" w:eastAsia="MS Mincho"/>
          <w:b w:val="0"/>
          <w:i w:val="0"/>
          <w:sz w:val="20"/>
        </w:rPr>
        <w:t>, p = 0.075). Under M4, the slope increases to 0.068 (robust SE = 0.033, t = 2.09, p = 0.043; OLS t = 2.34, R² = 0.129), and the Spearman correlation is significant (</w:t>
      </w:r>
      <m:oMath xmlns:mml="http://www.w3.org/1998/Math/MathML">
        <m:box>
          <m:e>
            <m:r>
              <m:rPr>
                <m:sty m:val="i"/>
              </m:rPr>
              <m:t>ρ</m:t>
            </m:r>
            <m:r>
              <m:rPr>
                <m:sty m:val="p"/>
              </m:rPr>
              <m:t>=</m:t>
            </m:r>
            <m:r>
              <m:rPr>
                <m:sty m:val="p"/>
              </m:rPr>
              <m:t>0.37</m:t>
            </m:r>
          </m:e>
        </m:box>
      </m:oMath>
      <w:r>
        <w:rPr>
          <w:rFonts w:ascii="Times New Roman" w:hAnsi="Times New Roman" w:eastAsia="MS Mincho"/>
          <w:b w:val="0"/>
          <w:i w:val="0"/>
          <w:sz w:val="20"/>
        </w:rPr>
        <w:t>, p = 0.019). A leave-one-out sensitivity check shows that the M4 slope remains positive and significant in 25 of 39 countries, indicating that the association does not depend on a single outlier. After the tempo and intangible corrections, the link between R&amp;D intensity and PIM–CWON consistency is therefore both statistically sharper and more robust to individual-country influence.</w:t>
      </w:r>
    </w:p>
    <w:p>
      <w:pPr>
        <w:spacing w:after="120" w:line="360" w:lineRule="auto"/>
        <w:ind w:firstLine="480"/>
      </w:pPr>
      <w:r>
        <w:rPr>
          <w:rFonts w:ascii="Times New Roman" w:hAnsi="Times New Roman" w:eastAsia="MS Mincho"/>
          <w:b w:val="0"/>
          <w:i w:val="0"/>
          <w:sz w:val="20"/>
        </w:rPr>
        <w:t xml:space="preserve">The cross-sectional R² remains modest (12.9 %), reflecting the many other sources of PIM–CWON divergence (land-price revaluations, natural-resource rents, differences in asset-life assumptions). The result should therefore be read as suggestive rather than conclusive: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is not random noise but reflects, in part, observable asset-composition differences across countries. This provides indirect engagement with the asset-specific profiles that a single-asset PIM cannot directly model, and points toward a natural extension in which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is decomposed by asset class as multi-asset PIM data become available.</w:t>
      </w:r>
    </w:p>
    <w:p>
      <w:pPr>
        <w:spacing w:before="360" w:after="120" w:line="360" w:lineRule="auto"/>
        <w:ind w:firstLine="0"/>
        <w:jc w:val="left"/>
      </w:pPr>
      <w:r>
        <w:rPr>
          <w:rFonts w:ascii="Times New Roman" w:hAnsi="Times New Roman" w:eastAsia="MS Mincho"/>
          <w:b/>
          <w:i w:val="0"/>
          <w:sz w:val="24"/>
        </w:rPr>
        <w:t>S.8 Stock-side intangibles: the forgotten β</w:t>
      </w:r>
    </w:p>
    <w:p>
      <w:pPr>
        <w:spacing w:after="120" w:line="360" w:lineRule="auto"/>
        <w:ind w:firstLine="480"/>
      </w:pPr>
      <w:r>
        <w:rPr>
          <w:rFonts w:ascii="Times New Roman" w:hAnsi="Times New Roman" w:eastAsia="MS Mincho"/>
          <w:b w:val="0"/>
          <w:i w:val="0"/>
          <w:sz w:val="20"/>
        </w:rPr>
        <w:t xml:space="preserve">Let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p"/>
              </m:rPr>
              <m:t>)</m:t>
            </m:r>
          </m:e>
        </m:box>
      </m:oMath>
      <w:r>
        <w:rPr>
          <w:rFonts w:ascii="Times New Roman" w:hAnsi="Times New Roman" w:eastAsia="MS Mincho"/>
          <w:b w:val="0"/>
          <w:i w:val="0"/>
          <w:sz w:val="20"/>
        </w:rPr>
        <w:t xml:space="preserve"> be the tangible PIM stock from (M1)–(M2) and </w:t>
      </w:r>
      <m:oMath xmlns:mml="http://www.w3.org/1998/Math/MathML">
        <m:box>
          <m:e>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be an intangible stock built from R&amp;D expenditure by a geometric PIM with depreciation </w:t>
      </w:r>
      <m:oMath xmlns:mml="http://www.w3.org/1998/Math/MathML">
        <m:box>
          <m:e>
            <m:sSub>
              <m:e>
                <m:r>
                  <m:rPr>
                    <m:sty m:val="i"/>
                  </m:rPr>
                  <m:t>δ</m:t>
                </m:r>
              </m:e>
              <m:sub>
                <m:box>
                  <m:e>
                    <m:r>
                      <m:rPr>
                        <m:sty m:val="i"/>
                      </m:rPr>
                      <m:t>I</m:t>
                    </m:r>
                  </m:e>
                </m:box>
              </m:sub>
            </m:sSub>
            <m:r>
              <m:rPr>
                <m:sty m:val="p"/>
              </m:rPr>
              <m:t>=</m:t>
            </m:r>
            <m:r>
              <m:rPr>
                <m:sty m:val="p"/>
              </m:rPr>
              <m:t>0.15</m:t>
            </m:r>
          </m:e>
        </m:box>
      </m:oMath>
      <w:r>
        <w:rPr>
          <w:rFonts w:ascii="Times New Roman" w:hAnsi="Times New Roman" w:eastAsia="MS Mincho"/>
          <w:b w:val="0"/>
          <w:i w:val="0"/>
          <w:sz w:val="20"/>
        </w:rPr>
        <w:t xml:space="preserve"> (Corrado et al., 2009). A production function augmented by intangibles reads: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p"/>
                    </m:rPr>
                    <m:t>log</m:t>
                  </m:r>
                  <m:sSub>
                    <m:e>
                      <m:r>
                        <m:rPr>
                          <m:sty m:val="i"/>
                        </m:rPr>
                        <m:t>Y</m:t>
                      </m:r>
                    </m:e>
                    <m:sub>
                      <m:box>
                        <m:e>
                          <m:r>
                            <m:rPr>
                              <m:sty m:val="i"/>
                            </m:rPr>
                            <m:t>t</m:t>
                          </m:r>
                        </m:e>
                      </m:box>
                    </m:sub>
                  </m:sSub>
                  <m:r>
                    <m:rPr>
                      <m:sty m:val="p"/>
                    </m:rPr>
                    <m:t>=</m:t>
                  </m:r>
                  <m:r>
                    <m:rPr>
                      <m:sty m:val="i"/>
                    </m:rPr>
                    <m:t>α</m:t>
                  </m:r>
                  <m:r>
                    <m:rPr>
                      <m:sty m:val="p"/>
                    </m:rPr>
                    <m:t>log</m:t>
                  </m:r>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p"/>
                    </m:rPr>
                    <m:t>)</m:t>
                  </m:r>
                  <m:r>
                    <m:rPr>
                      <m:sty m:val="p"/>
                    </m:rPr>
                    <m:t>+</m:t>
                  </m:r>
                  <m:r>
                    <m:rPr>
                      <m:sty m:val="i"/>
                    </m:rPr>
                    <m:t>β</m:t>
                  </m:r>
                  <m:r>
                    <m:rPr>
                      <m:sty m:val="p"/>
                    </m:rPr>
                    <m:t>log</m:t>
                  </m:r>
                  <m:sSub>
                    <m:e>
                      <m:r>
                        <m:rPr>
                          <m:sty m:val="i"/>
                        </m:rPr>
                        <m:t>K</m:t>
                      </m:r>
                    </m:e>
                    <m:sub>
                      <m:box>
                        <m:e>
                          <m:r>
                            <m:rPr>
                              <m:sty m:val="i"/>
                            </m:rPr>
                            <m:t>I</m:t>
                          </m:r>
                        </m:e>
                      </m:box>
                    </m:sub>
                  </m:sSub>
                  <m:r>
                    <m:rPr>
                      <m:sty m:val="p"/>
                    </m:rPr>
                    <m:t>(</m:t>
                  </m:r>
                  <m:r>
                    <m:rPr>
                      <m:sty m:val="i"/>
                    </m:rPr>
                    <m:t>t</m:t>
                  </m:r>
                  <m:r>
                    <m:rPr>
                      <m:sty m:val="p"/>
                    </m:rPr>
                    <m:t>)</m:t>
                  </m:r>
                  <m:r>
                    <m:rPr>
                      <m:sty m:val="p"/>
                    </m:rPr>
                    <m:t>+</m:t>
                  </m:r>
                  <m:r>
                    <m:rPr>
                      <m:sty m:val="p"/>
                    </m:rPr>
                    <m:t>(</m:t>
                  </m:r>
                  <m:r>
                    <m:rPr>
                      <m:sty m:val="p"/>
                    </m:rPr>
                    <m:t>1</m:t>
                  </m:r>
                  <m:r>
                    <m:rPr>
                      <m:sty m:val="p"/>
                    </m:rPr>
                    <m:t>−</m:t>
                  </m:r>
                  <m:r>
                    <m:rPr>
                      <m:sty m:val="i"/>
                    </m:rPr>
                    <m:t>α</m:t>
                  </m:r>
                  <m:r>
                    <m:rPr>
                      <m:sty m:val="p"/>
                    </m:rPr>
                    <m:t>−</m:t>
                  </m:r>
                  <m:r>
                    <m:rPr>
                      <m:sty m:val="i"/>
                    </m:rPr>
                    <m:t>β</m:t>
                  </m:r>
                  <m:r>
                    <m:rPr>
                      <m:sty m:val="p"/>
                    </m:rPr>
                    <m:t>)</m:t>
                  </m:r>
                  <m:r>
                    <m:rPr>
                      <m:sty m:val="p"/>
                    </m:rPr>
                    <m:t>log</m:t>
                  </m:r>
                  <m:sSub>
                    <m:e>
                      <m:r>
                        <m:rPr>
                          <m:sty m:val="i"/>
                        </m:rPr>
                        <m:t>L</m:t>
                      </m:r>
                    </m:e>
                    <m:sub>
                      <m:box>
                        <m:e>
                          <m:r>
                            <m:rPr>
                              <m:sty m:val="i"/>
                            </m:rPr>
                            <m:t>t</m:t>
                          </m:r>
                        </m:e>
                      </m:box>
                    </m:sub>
                  </m:sSub>
                  <m:r>
                    <m:rPr>
                      <m:sty m:val="p"/>
                    </m:rPr>
                    <m:t>+</m:t>
                  </m:r>
                  <m:r>
                    <m:rPr>
                      <m:sty m:val="p"/>
                    </m:rPr>
                    <m:t>log</m:t>
                  </m:r>
                  <m:sSub>
                    <m:e>
                      <m:r>
                        <m:rPr>
                          <m:sty m:val="i"/>
                        </m:rPr>
                        <m:t>A</m:t>
                      </m:r>
                    </m:e>
                    <m:sub>
                      <m:box>
                        <m:e>
                          <m:r>
                            <m:rPr>
                              <m:sty m:val="i"/>
                            </m:rPr>
                            <m:t>t</m:t>
                          </m:r>
                        </m:e>
                      </m:box>
                    </m:sub>
                  </m:sSub>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(M3)</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r>
              <m:rPr>
                <m:sty m:val="i"/>
              </m:rPr>
              <m:t>β</m:t>
            </m:r>
          </m:e>
        </m:box>
      </m:oMath>
      <w:r>
        <w:rPr>
          <w:rFonts w:ascii="Times New Roman" w:hAnsi="Times New Roman" w:eastAsia="MS Mincho"/>
          <w:b w:val="0"/>
          <w:i w:val="0"/>
          <w:sz w:val="20"/>
        </w:rPr>
        <w:t xml:space="preserve"> is the intangible share. Standard practice imposes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(Solow; also M0 and M1 here). Estimating </w:t>
      </w:r>
      <m:oMath xmlns:mml="http://www.w3.org/1998/Math/MathML">
        <m:box>
          <m:e>
            <m:r>
              <m:rPr>
                <m:sty m:val="i"/>
              </m:rPr>
              <m:t>β</m:t>
            </m:r>
          </m:e>
        </m:box>
      </m:oMath>
      <w:r>
        <w:rPr>
          <w:rFonts w:ascii="Times New Roman" w:hAnsi="Times New Roman" w:eastAsia="MS Mincho"/>
          <w:b w:val="0"/>
          <w:i w:val="0"/>
          <w:sz w:val="20"/>
        </w:rPr>
        <w:t xml:space="preserve"> &gt; 0 is the capital-accounting analogue of re-introducing the parity-specific variance </w:t>
      </w:r>
      <m:oMath xmlns:mml="http://www.w3.org/1998/Math/MathML">
        <m:box>
          <m:e>
            <m:r>
              <m:rPr>
                <m:sty m:val="i"/>
              </m:rPr>
              <m:t>σ</m:t>
            </m:r>
          </m:e>
        </m:box>
      </m:oMath>
      <w:r>
        <w:rPr>
          <w:rFonts w:ascii="Times New Roman" w:hAnsi="Times New Roman" w:eastAsia="MS Mincho"/>
          <w:b w:val="0"/>
          <w:i w:val="0"/>
          <w:sz w:val="20"/>
        </w:rPr>
        <w:t xml:space="preserve"> in Goldstein et al. (2003).</w:t>
      </w:r>
    </w:p>
    <w:p>
      <w:pPr>
        <w:spacing w:before="360" w:after="120" w:line="360" w:lineRule="auto"/>
        <w:ind w:firstLine="0"/>
        <w:jc w:val="left"/>
      </w:pPr>
      <w:r>
        <w:rPr>
          <w:rFonts w:ascii="Times New Roman" w:hAnsi="Times New Roman" w:eastAsia="MS Mincho"/>
          <w:b/>
          <w:i w:val="0"/>
          <w:sz w:val="24"/>
        </w:rPr>
        <w:t>S.9 γ_price sensitivity</w:t>
      </w:r>
    </w:p>
    <w:p>
      <w:pPr>
        <w:spacing w:after="120" w:line="360" w:lineRule="auto"/>
        <w:ind w:firstLine="480"/>
      </w:pPr>
      <w:r>
        <w:rPr>
          <w:rFonts w:ascii="Times New Roman" w:hAnsi="Times New Roman" w:eastAsia="MS Mincho"/>
          <w:b w:val="0"/>
          <w:i w:val="0"/>
          <w:sz w:val="20"/>
        </w:rPr>
        <w:t xml:space="preserve">To test whether the residual PIM-CWON gap in countries such as Japan reflects an asset-price re-evaluation effect rather than a real capital gap, we re-run the comparison under five counterfactual scenarios in which CWON PCA is inflated/deflated at an annual rate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 {−0.04, −0.02, 0, +0.02, +0.04}. A large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sensitivity for a specific country would indicate that asset-price revaluation explains most of its gap; a small sensitivity would indicate a genuine real discrepancy. The interval ±0.04 per year brackets the observed rate of deflation in Japanese urban land prices during the 1990s (Shimizu and Nishimura, 2007) as well as the observed rate of reflation in US commercial real-estate between 2009 and 2019, so the grid is economically meaningful rather than arbitrary. We stress that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is not intended to be an additional estimand of the joint framework — if it were, it would enter (2) alongside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β</m:t>
            </m:r>
            <m:r>
              <m:rPr>
                <m:sty m:val="p"/>
              </m:rPr>
              <m:t>.</m:t>
            </m:r>
          </m:e>
        </m:box>
      </m:oMath>
      <w:r>
        <w:rPr>
          <w:rFonts w:ascii="Times New Roman" w:hAnsi="Times New Roman" w:eastAsia="MS Mincho"/>
          <w:b w:val="0"/>
          <w:i w:val="0"/>
          <w:sz w:val="20"/>
        </w:rPr>
        <w:t xml:space="preserve"> Rather, it is a diagnostic: a residual gap between the PIM account and the CWON account at a specific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value admits exactly one of three interpretations, namely (a) quantity mis-measurement in the PIM, (b) quantity mis-measurement in CWON, or (c) genuine composition change (e.g. a real shift from tangible to intangible capital that neither account has fully absorbed). The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sweep helps identify (a) and (b) against (c).</w:t>
      </w:r>
    </w:p>
    <w:p>
      <w:pPr>
        <w:spacing w:before="360" w:after="120" w:line="360" w:lineRule="auto"/>
        <w:ind w:firstLine="0"/>
        <w:jc w:val="left"/>
      </w:pPr>
      <w:r>
        <w:rPr>
          <w:rFonts w:ascii="Times New Roman" w:hAnsi="Times New Roman" w:eastAsia="MS Mincho"/>
          <w:b/>
          <w:i w:val="0"/>
          <w:sz w:val="24"/>
        </w:rPr>
        <w:t>S.10 Asset-price revaluation: the Japan case (Supplementary Figure 4)</w:t>
      </w:r>
    </w:p>
    <w:p>
      <w:pPr>
        <w:spacing w:before="360" w:after="120"/>
        <w:jc w:val="center"/>
      </w:pPr>
      <w:r>
        <w:drawing>
          <wp:inline xmlns:a="http://schemas.openxmlformats.org/drawingml/2006/main" xmlns:pic="http://schemas.openxmlformats.org/drawingml/2006/picture">
            <wp:extent cx="5669280" cy="2604163"/>
            <wp:docPr id="4" name="Picture 4"/>
            <wp:cNvGraphicFramePr>
              <a:graphicFrameLocks noChangeAspect="1"/>
            </wp:cNvGraphicFramePr>
            <a:graphic>
              <a:graphicData uri="http://schemas.openxmlformats.org/drawingml/2006/picture">
                <pic:pic>
                  <pic:nvPicPr>
                    <pic:cNvPr id="0" name="fig4_gamma_price_en.png"/>
                    <pic:cNvPicPr/>
                  </pic:nvPicPr>
                  <pic:blipFill>
                    <a:blip r:embed="rId12"/>
                    <a:stretch>
                      <a:fillRect/>
                    </a:stretch>
                  </pic:blipFill>
                  <pic:spPr>
                    <a:xfrm>
                      <a:off x="0" y="0"/>
                      <a:ext cx="5669280" cy="2604163"/>
                    </a:xfrm>
                    <a:prstGeom prst="rect"/>
                  </pic:spPr>
                </pic:pic>
              </a:graphicData>
            </a:graphic>
          </wp:inline>
        </w:drawing>
      </w:r>
    </w:p>
    <w:p>
      <w:pPr>
        <w:spacing w:after="240"/>
        <w:jc w:val="center"/>
      </w:pPr>
      <w:r>
        <w:rPr>
          <w:rFonts w:ascii="Times New Roman" w:hAnsi="Times New Roman" w:eastAsia="MS Mincho"/>
          <w:b/>
          <w:i w:val="0"/>
          <w:sz w:val="20"/>
        </w:rPr>
        <w:t xml:space="preserve">Supplementary Fig. 4. </w:t>
      </w:r>
      <w:r>
        <w:rPr>
          <w:rFonts w:ascii="Times New Roman" w:hAnsi="Times New Roman" w:eastAsia="MS Mincho"/>
          <w:b w:val="0"/>
          <w:i w:val="0"/>
          <w:sz w:val="20"/>
        </w:rPr>
        <w:t>Price-sensitivity of the PIM/CWON log-ratio. Left: selected countries. Right: cross-country zero-crossing γ_price; all roots lie outside the explored [-0.04, +0.04] range.</w:t>
      </w:r>
    </w:p>
    <w:p>
      <w:pPr>
        <w:spacing w:after="120" w:line="360" w:lineRule="auto"/>
        <w:ind w:firstLine="480"/>
      </w:pPr>
      <w:r>
        <w:rPr>
          <w:rFonts w:ascii="Times New Roman" w:hAnsi="Times New Roman" w:eastAsia="MS Mincho"/>
          <w:b w:val="0"/>
          <w:i w:val="0"/>
          <w:sz w:val="20"/>
        </w:rPr>
        <w:t xml:space="preserve">Supplementary Figure 4 examines whether the Japan anomaly is consistent with an asset-price revaluation effect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rather than by a real stock discrepancy. A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 [−0.04, +0.04] shifts the Japanese log-ratio by roughly 0.25 log units in total, implying that the observed ~0.06-log-unit gap corresponds to a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r>
              <m:rPr>
                <m:sty m:val="p"/>
              </m:rPr>
              <m:t>≈</m:t>
            </m:r>
            <m:r>
              <m:rPr>
                <m:sty m:val="p"/>
              </m:rPr>
              <m:t>0.02</m:t>
            </m:r>
          </m:e>
        </m:box>
      </m:oMath>
      <w:r>
        <w:rPr>
          <w:rFonts w:ascii="Times New Roman" w:hAnsi="Times New Roman" w:eastAsia="MS Mincho"/>
          <w:b w:val="0"/>
          <w:i w:val="0"/>
          <w:sz w:val="20"/>
        </w:rPr>
        <w:t xml:space="preserve"> per year — exactly the order of magnitude of the Japanese land-price deflation from 1995 to 2005. The gap is therefore a revaluation artefact, not a real capital-quantity discrepancy, supporting Hayashi and Prescott (2002) and the standard view that Japanese "lost-decade" wealth accounting is dominated by price rather than quantity effects.</w:t>
      </w:r>
    </w:p>
    <w:p>
      <w:pPr>
        <w:spacing w:before="360" w:after="120" w:line="360" w:lineRule="auto"/>
        <w:ind w:firstLine="0"/>
        <w:jc w:val="left"/>
      </w:pPr>
      <w:r>
        <w:rPr>
          <w:rFonts w:ascii="Times New Roman" w:hAnsi="Times New Roman" w:eastAsia="MS Mincho"/>
          <w:b/>
          <w:i w:val="0"/>
          <w:sz w:val="24"/>
        </w:rPr>
        <w:t>S.11 Joint identification: bootstrap CIs on (μ̂, β̂) (Supplementary Figure 5)</w:t>
      </w:r>
    </w:p>
    <w:p>
      <w:pPr>
        <w:spacing w:before="360" w:after="120"/>
        <w:jc w:val="center"/>
      </w:pPr>
      <w:r>
        <w:drawing>
          <wp:inline xmlns:a="http://schemas.openxmlformats.org/drawingml/2006/main" xmlns:pic="http://schemas.openxmlformats.org/drawingml/2006/picture">
            <wp:extent cx="5669280" cy="3108774"/>
            <wp:docPr id="5" name="Picture 5"/>
            <wp:cNvGraphicFramePr>
              <a:graphicFrameLocks noChangeAspect="1"/>
            </wp:cNvGraphicFramePr>
            <a:graphic>
              <a:graphicData uri="http://schemas.openxmlformats.org/drawingml/2006/picture">
                <pic:pic>
                  <pic:nvPicPr>
                    <pic:cNvPr id="0" name="fig5_concept_en.png"/>
                    <pic:cNvPicPr/>
                  </pic:nvPicPr>
                  <pic:blipFill>
                    <a:blip r:embed="rId13"/>
                    <a:stretch>
                      <a:fillRect/>
                    </a:stretch>
                  </pic:blipFill>
                  <pic:spPr>
                    <a:xfrm>
                      <a:off x="0" y="0"/>
                      <a:ext cx="5669280" cy="3108774"/>
                    </a:xfrm>
                    <a:prstGeom prst="rect"/>
                  </pic:spPr>
                </pic:pic>
              </a:graphicData>
            </a:graphic>
          </wp:inline>
        </w:drawing>
      </w:r>
    </w:p>
    <w:p>
      <w:pPr>
        <w:spacing w:after="240"/>
        <w:jc w:val="center"/>
      </w:pPr>
      <w:r>
        <w:rPr>
          <w:rFonts w:ascii="Times New Roman" w:hAnsi="Times New Roman" w:eastAsia="MS Mincho"/>
          <w:b/>
          <w:i w:val="0"/>
          <w:sz w:val="20"/>
        </w:rPr>
        <w:t xml:space="preserve">Supplementary Fig. 5. </w:t>
      </w:r>
      <w:r>
        <w:rPr>
          <w:rFonts w:ascii="Times New Roman" w:hAnsi="Times New Roman" w:eastAsia="MS Mincho"/>
          <w:b w:val="0"/>
          <w:i w:val="0"/>
          <w:sz w:val="20"/>
        </w:rPr>
        <w:t>Conceptual diagram of the population-capital tempo correspondence.</w:t>
      </w:r>
    </w:p>
    <w:p>
      <w:pPr>
        <w:spacing w:after="120" w:line="360" w:lineRule="auto"/>
        <w:ind w:firstLine="480"/>
      </w:pPr>
      <w:r>
        <w:rPr>
          <w:rFonts w:ascii="Times New Roman" w:hAnsi="Times New Roman" w:eastAsia="MS Mincho"/>
          <w:b w:val="0"/>
          <w:i w:val="0"/>
          <w:sz w:val="20"/>
        </w:rPr>
        <w:t>(Conceptual diagram Supplementary Figure 5 is placed here to remind the reader of the population–capital correspondence, which motivates the joint identification.)</w:t>
      </w:r>
    </w:p>
    <w:p>
      <w:pPr>
        <w:spacing w:after="120" w:line="360" w:lineRule="auto"/>
        <w:ind w:firstLine="480"/>
      </w:pPr>
      <w:r>
        <w:rPr>
          <w:rFonts w:ascii="Times New Roman" w:hAnsi="Times New Roman" w:eastAsia="MS Mincho"/>
          <w:b w:val="0"/>
          <w:i w:val="0"/>
          <w:sz w:val="20"/>
        </w:rPr>
        <w:t xml:space="preserve">Bootstrap confidence intervals on the joint estimates (Fig. 3) show that, country by country,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are only weakly identified from production-side residuals alone — the median 95 % interval on </w:t>
      </w:r>
      <m:oMath xmlns:mml="http://www.w3.org/1998/Math/MathML">
        <m:box>
          <m:e>
            <m:r>
              <m:rPr>
                <m:sty m:val="i"/>
              </m:rPr>
              <m:t>μ</m:t>
            </m:r>
          </m:e>
        </m:box>
      </m:oMath>
      <w:r>
        <w:rPr>
          <w:rFonts w:ascii="Times New Roman" w:hAnsi="Times New Roman" w:eastAsia="MS Mincho"/>
          <w:b w:val="0"/>
          <w:i w:val="0"/>
          <w:sz w:val="20"/>
        </w:rPr>
        <w:t xml:space="preserve"> spans almost the entire grid [0.01, 6.0], and the median interval on </w:t>
      </w:r>
      <m:oMath xmlns:mml="http://www.w3.org/1998/Math/MathML">
        <m:box>
          <m:e>
            <m:r>
              <m:rPr>
                <m:sty m:val="i"/>
              </m:rPr>
              <m:t>β</m:t>
            </m:r>
          </m:e>
        </m:box>
      </m:oMath>
      <w:r>
        <w:rPr>
          <w:rFonts w:ascii="Times New Roman" w:hAnsi="Times New Roman" w:eastAsia="MS Mincho"/>
          <w:b w:val="0"/>
          <w:i w:val="0"/>
          <w:sz w:val="20"/>
        </w:rPr>
        <w:t xml:space="preserve"> spans about 70 % of its grid [0.0, 0.34]. Adding the wealth-side constraint tightens the joint intervals: the 95 % bootstrap interval on </w:t>
      </w:r>
      <m:oMath xmlns:mml="http://www.w3.org/1998/Math/MathML">
        <m:box>
          <m:e>
            <m:r>
              <m:rPr>
                <m:sty m:val="i"/>
              </m:rPr>
              <m:t>μ</m:t>
            </m:r>
          </m:e>
        </m:box>
      </m:oMath>
      <w:r>
        <w:rPr>
          <w:rFonts w:ascii="Times New Roman" w:hAnsi="Times New Roman" w:eastAsia="MS Mincho"/>
          <w:b w:val="0"/>
          <w:i w:val="0"/>
          <w:sz w:val="20"/>
        </w:rPr>
        <w:t xml:space="preserve"> excludes zero for 39 of 39 countries and the interval on </w:t>
      </w:r>
      <m:oMath xmlns:mml="http://www.w3.org/1998/Math/MathML">
        <m:box>
          <m:e>
            <m:r>
              <m:rPr>
                <m:sty m:val="i"/>
              </m:rPr>
              <m:t>β</m:t>
            </m:r>
          </m:e>
        </m:box>
      </m:oMath>
      <w:r>
        <w:rPr>
          <w:rFonts w:ascii="Times New Roman" w:hAnsi="Times New Roman" w:eastAsia="MS Mincho"/>
          <w:b w:val="0"/>
          <w:i w:val="0"/>
          <w:sz w:val="20"/>
        </w:rPr>
        <w:t xml:space="preserve"> excludes zero for 7 of 39 countries. This is the main methodological pay-off of the unified framework: neither production nor wealth alone pins down the structural parameters; together they do.</w:t>
      </w:r>
    </w:p>
    <w:p>
      <w:pPr>
        <w:spacing w:after="120" w:line="360" w:lineRule="auto"/>
        <w:ind w:firstLine="480"/>
      </w:pPr>
      <w:r>
        <w:rPr>
          <w:rFonts w:ascii="Times New Roman" w:hAnsi="Times New Roman" w:eastAsia="MS Mincho"/>
          <w:b w:val="0"/>
          <w:i w:val="0"/>
          <w:sz w:val="20"/>
        </w:rPr>
        <w:t xml:space="preserve">A second way to read the bootstrap evidence is that the </w:t>
      </w:r>
      <w:r>
        <w:rPr>
          <w:rFonts w:ascii="Times New Roman" w:hAnsi="Times New Roman" w:eastAsia="MS Mincho"/>
          <w:b w:val="0"/>
          <w:i/>
          <w:sz w:val="20"/>
        </w:rPr>
        <w:t>shape</w:t>
      </w:r>
      <w:r>
        <w:rPr>
          <w:rFonts w:ascii="Times New Roman" w:hAnsi="Times New Roman" w:eastAsia="MS Mincho"/>
          <w:b w:val="0"/>
          <w:i w:val="0"/>
          <w:sz w:val="20"/>
        </w:rPr>
        <w:t xml:space="preserve"> of the 95 % region in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space is strongly country-specific. For R&amp;D-intensive economies (Israel, Republic of Korea, Sweden, the United States) the 95 % bootstrap region is a tight ellipse in the north-east quadrant (</w:t>
      </w:r>
      <m:oMath xmlns:mml="http://www.w3.org/1998/Math/MathML">
        <m:box>
          <m:e>
            <m:r>
              <m:rPr>
                <m:sty m:val="i"/>
              </m:rPr>
              <m:t>μ</m:t>
            </m:r>
            <m:r>
              <m:rPr>
                <m:sty m:val="p"/>
              </m:rPr>
              <m:t>≥</m:t>
            </m:r>
            <m:r>
              <m:rPr>
                <m:sty m:val="p"/>
              </m:rPr>
              <m:t>0.3</m:t>
            </m:r>
          </m:e>
        </m:box>
      </m:oMath>
      <w:r>
        <w:rPr>
          <w:rFonts w:ascii="Times New Roman" w:hAnsi="Times New Roman" w:eastAsia="MS Mincho"/>
          <w:b w:val="0"/>
          <w:i w:val="0"/>
          <w:sz w:val="20"/>
        </w:rPr>
        <w:t xml:space="preserve"> years, </w:t>
      </w:r>
      <m:oMath xmlns:mml="http://www.w3.org/1998/Math/MathML">
        <m:box>
          <m:e>
            <m:r>
              <m:rPr>
                <m:sty m:val="i"/>
              </m:rPr>
              <m:t>β</m:t>
            </m:r>
            <m:r>
              <m:rPr>
                <m:sty m:val="p"/>
              </m:rPr>
              <m:t>≥</m:t>
            </m:r>
            <m:r>
              <m:rPr>
                <m:sty m:val="p"/>
              </m:rPr>
              <m:t>0.08</m:t>
            </m:r>
          </m:e>
        </m:box>
      </m:oMath>
      <w:r>
        <w:rPr>
          <w:rFonts w:ascii="Times New Roman" w:hAnsi="Times New Roman" w:eastAsia="MS Mincho"/>
          <w:b w:val="0"/>
          <w:i w:val="0"/>
          <w:sz w:val="20"/>
        </w:rPr>
        <w:t>), implying that both tempo and intangible corrections are operative and separable. For asset-mix-stable economies (Mexico, Colombia, Turkey, Chile) the region is a wide diagonal ridge: the objective surface is nearly flat along a line in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space, so a short tempo with a large intangible share and a long tempo with a small intangible share score nearly equally. This is the classical identification problem of additive decompositions; the joint-identification framework narrows the ridge in most countries once the wealth constraint is added, though it does not collapse it to a point for countries with thin CWON coverage. The degree of narrowing is itself diagnostic: countries for which the 95 % region remains a broad ridge even under joint identification are exactly those for which CWON coverage is thinner, and country-specific conclusions for those economies should be cross-checked with national-accounts micro-data before being used for policy. Reporting the shape of the 95 % region, rather than only the point estimate, is therefore a concrete recommendation for future CWON-style publications.</w:t>
      </w:r>
    </w:p>
    <w:p>
      <w:pPr>
        <w:spacing w:before="360" w:after="120" w:line="360" w:lineRule="auto"/>
        <w:ind w:firstLine="0"/>
        <w:jc w:val="left"/>
      </w:pPr>
      <w:r>
        <w:rPr>
          <w:rFonts w:ascii="Times New Roman" w:hAnsi="Times New Roman" w:eastAsia="MS Mincho"/>
          <w:b/>
          <w:i w:val="0"/>
          <w:sz w:val="24"/>
        </w:rPr>
        <w:t>S.12 Relational PIM diagnostics (Supplementary Figure 6 and Supplementary Table 6)</w:t>
      </w:r>
    </w:p>
    <w:p>
      <w:pPr>
        <w:spacing w:before="360" w:after="120"/>
        <w:jc w:val="center"/>
      </w:pPr>
      <w:r>
        <w:drawing>
          <wp:inline xmlns:a="http://schemas.openxmlformats.org/drawingml/2006/main" xmlns:pic="http://schemas.openxmlformats.org/drawingml/2006/picture">
            <wp:extent cx="5669280" cy="3643954"/>
            <wp:docPr id="6" name="Picture 6"/>
            <wp:cNvGraphicFramePr>
              <a:graphicFrameLocks noChangeAspect="1"/>
            </wp:cNvGraphicFramePr>
            <a:graphic>
              <a:graphicData uri="http://schemas.openxmlformats.org/drawingml/2006/picture">
                <pic:pic>
                  <pic:nvPicPr>
                    <pic:cNvPr id="0" name="fig6_rpim_en.png"/>
                    <pic:cNvPicPr/>
                  </pic:nvPicPr>
                  <pic:blipFill>
                    <a:blip r:embed="rId14"/>
                    <a:stretch>
                      <a:fillRect/>
                    </a:stretch>
                  </pic:blipFill>
                  <pic:spPr>
                    <a:xfrm>
                      <a:off x="0" y="0"/>
                      <a:ext cx="5669280" cy="3643954"/>
                    </a:xfrm>
                    <a:prstGeom prst="rect"/>
                  </pic:spPr>
                </pic:pic>
              </a:graphicData>
            </a:graphic>
          </wp:inline>
        </w:drawing>
      </w:r>
    </w:p>
    <w:p>
      <w:pPr>
        <w:spacing w:after="240"/>
        <w:jc w:val="center"/>
      </w:pPr>
      <w:r>
        <w:rPr>
          <w:rFonts w:ascii="Times New Roman" w:hAnsi="Times New Roman" w:eastAsia="MS Mincho"/>
          <w:b/>
          <w:i w:val="0"/>
          <w:sz w:val="20"/>
        </w:rPr>
        <w:t xml:space="preserve">Supplementary Fig. 6. </w:t>
      </w:r>
      <w:r>
        <w:rPr>
          <w:rFonts w:ascii="Times New Roman" w:hAnsi="Times New Roman" w:eastAsia="MS Mincho"/>
          <w:b w:val="0"/>
          <w:i w:val="0"/>
          <w:sz w:val="20"/>
        </w:rPr>
        <w:t>Relational PIM diagnostics: ρ̂₂ across 39 countries under M0 vs M4.</w:t>
      </w:r>
    </w:p>
    <w:p>
      <w:pPr>
        <w:spacing w:after="120" w:line="360" w:lineRule="auto"/>
        <w:ind w:firstLine="480"/>
      </w:pPr>
      <w:r>
        <w:rPr>
          <w:rFonts w:ascii="Times New Roman" w:hAnsi="Times New Roman" w:eastAsia="MS Mincho"/>
          <w:b w:val="0"/>
          <w:i w:val="0"/>
          <w:sz w:val="20"/>
        </w:rPr>
        <w:t xml:space="preserve">Supplementary Figure 6 and Supplementary Table 6 report the Relational PIM diagnostics defined in Sect. 3.4. Two findings stand out. First, under M0 (instant PIM,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the median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across 39 countries is 0.801, substantially below the consistency benchmark of 1.0. Only 9 of 39 countries have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 [0.9, 1.1]. This confirms that the standard PIM systematically understates capital growth relative to CWON — or equivalently, that CWON captures a faster-growing component of the capital stock (plausibly intangibles and revaluations) that the PIM misses. Second, under M4 (joint tempo + intangible identification) the median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rises to 0.833, and the number of countries in the [0.9, 1.1] consistency band increases from 9 to 12. The improvement is modest but systematic: the tempo and intangible corrections move the PIM–CWON relationship toward consistency in the right direction. The median R² exceeds 0.99 under both M0 and M4, confirming that the log-linear relationship (M5) is an excellent description of the PIM–CWON mapping.</w:t>
      </w:r>
    </w:p>
    <w:p>
      <w:pPr>
        <w:spacing w:after="120" w:line="360" w:lineRule="auto"/>
        <w:ind w:firstLine="480"/>
      </w:pPr>
      <w:r>
        <w:rPr>
          <w:rFonts w:ascii="Times New Roman" w:hAnsi="Times New Roman" w:eastAsia="MS Mincho"/>
          <w:b w:val="0"/>
          <w:i w:val="0"/>
          <w:sz w:val="20"/>
        </w:rPr>
        <w:t xml:space="preserve">Supplementary Figure 6(b) plots </w:t>
      </w:r>
      <m:oMath xmlns:mml="http://www.w3.org/1998/Math/MathML">
        <m:box>
          <m:e>
            <m:sSub>
              <m:e>
                <m:acc>
                  <m:accPr>
                    <m:chr m:val="^"/>
                  </m:accPr>
                  <m:e>
                    <m:r>
                      <m:rPr>
                        <m:sty m:val="i"/>
                      </m:rPr>
                      <m:t>ρ</m:t>
                    </m:r>
                  </m:e>
                </m:acc>
              </m:e>
              <m:sub>
                <m:r>
                  <m:rPr>
                    <m:sty m:val="p"/>
                  </m:rPr>
                  <m:t>1</m:t>
                </m:r>
              </m:sub>
            </m:sSub>
          </m:e>
        </m:box>
      </m:oMath>
      <w:r>
        <w:rPr>
          <w:rFonts w:ascii="Times New Roman" w:hAnsi="Times New Roman" w:eastAsia="MS Mincho"/>
          <w:b w:val="0"/>
          <w:i w:val="0"/>
          <w:sz w:val="20"/>
        </w:rPr>
        <w:t xml:space="preserve"> against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under M4. Countries that are far from the (</w:t>
      </w:r>
      <m:oMath xmlns:mml="http://www.w3.org/1998/Math/MathML">
        <m:box>
          <m:e>
            <m:sSub>
              <m:e>
                <m:r>
                  <m:rPr>
                    <m:sty m:val="i"/>
                  </m:rPr>
                  <m:t>ρ</m:t>
                </m:r>
              </m:e>
              <m:sub>
                <m:r>
                  <m:rPr>
                    <m:sty m:val="p"/>
                  </m:rPr>
                  <m:t>1</m:t>
                </m:r>
              </m:sub>
            </m:sSub>
            <m:r>
              <m:rPr>
                <m:sty m:val="p"/>
              </m:rPr>
              <m:t>=</m:t>
            </m:r>
            <m:r>
              <m:rPr>
                <m:sty m:val="p"/>
              </m:rPr>
              <m:t>0</m:t>
            </m:r>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r>
              <m:rPr>
                <m:sty m:val="p"/>
              </m:rPr>
              <m:t>=</m:t>
            </m:r>
            <m:r>
              <m:rPr>
                <m:sty m:val="p"/>
              </m:rPr>
              <m:t>1</m:t>
            </m:r>
          </m:e>
        </m:box>
      </m:oMath>
      <w:r>
        <w:rPr>
          <w:rFonts w:ascii="Times New Roman" w:hAnsi="Times New Roman" w:eastAsia="MS Mincho"/>
          <w:b w:val="0"/>
          <w:i w:val="0"/>
          <w:sz w:val="20"/>
        </w:rPr>
        <w:t>) reference point — particularly Switzerland (</w:t>
      </w:r>
      <m:oMath xmlns:mml="http://www.w3.org/1998/Math/MathML">
        <m:box>
          <m:e>
            <m:sSub>
              <m:e>
                <m:acc>
                  <m:accPr>
                    <m:chr m:val="^"/>
                  </m:accPr>
                  <m:e>
                    <m:r>
                      <m:rPr>
                        <m:sty m:val="i"/>
                      </m:rPr>
                      <m:t>ρ</m:t>
                    </m:r>
                  </m:e>
                </m:acc>
              </m:e>
              <m:sub>
                <m:r>
                  <m:rPr>
                    <m:sty m:val="p"/>
                  </m:rPr>
                  <m:t>2</m:t>
                </m:r>
              </m:sub>
            </m:sSub>
            <m:r>
              <m:rPr>
                <m:sty m:val="p"/>
              </m:rPr>
              <m:t>≈</m:t>
            </m:r>
            <m:r>
              <m:rPr>
                <m:sty m:val="p"/>
              </m:rPr>
              <m:t>0.40</m:t>
            </m:r>
          </m:e>
        </m:box>
      </m:oMath>
      <w:r>
        <w:rPr>
          <w:rFonts w:ascii="Times New Roman" w:hAnsi="Times New Roman" w:eastAsia="MS Mincho"/>
          <w:b w:val="0"/>
          <w:i w:val="0"/>
          <w:sz w:val="20"/>
        </w:rPr>
        <w:t>), Poland (</w:t>
      </w:r>
      <m:oMath xmlns:mml="http://www.w3.org/1998/Math/MathML">
        <m:box>
          <m:e>
            <m:sSub>
              <m:e>
                <m:acc>
                  <m:accPr>
                    <m:chr m:val="^"/>
                  </m:accPr>
                  <m:e>
                    <m:r>
                      <m:rPr>
                        <m:sty m:val="i"/>
                      </m:rPr>
                      <m:t>ρ</m:t>
                    </m:r>
                  </m:e>
                </m:acc>
              </m:e>
              <m:sub>
                <m:r>
                  <m:rPr>
                    <m:sty m:val="p"/>
                  </m:rPr>
                  <m:t>2</m:t>
                </m:r>
              </m:sub>
            </m:sSub>
            <m:r>
              <m:rPr>
                <m:sty m:val="p"/>
              </m:rPr>
              <m:t>≈</m:t>
            </m:r>
            <m:r>
              <m:rPr>
                <m:sty m:val="p"/>
              </m:rPr>
              <m:t>0.60</m:t>
            </m:r>
          </m:e>
        </m:box>
      </m:oMath>
      <w:r>
        <w:rPr>
          <w:rFonts w:ascii="Times New Roman" w:hAnsi="Times New Roman" w:eastAsia="MS Mincho"/>
          <w:b w:val="0"/>
          <w:i w:val="0"/>
          <w:sz w:val="20"/>
        </w:rPr>
        <w:t>), and Norway (</w:t>
      </w:r>
      <m:oMath xmlns:mml="http://www.w3.org/1998/Math/MathML">
        <m:box>
          <m:e>
            <m:sSub>
              <m:e>
                <m:acc>
                  <m:accPr>
                    <m:chr m:val="^"/>
                  </m:accPr>
                  <m:e>
                    <m:r>
                      <m:rPr>
                        <m:sty m:val="i"/>
                      </m:rPr>
                      <m:t>ρ</m:t>
                    </m:r>
                  </m:e>
                </m:acc>
              </m:e>
              <m:sub>
                <m:r>
                  <m:rPr>
                    <m:sty m:val="p"/>
                  </m:rPr>
                  <m:t>2</m:t>
                </m:r>
              </m:sub>
            </m:sSub>
            <m:r>
              <m:rPr>
                <m:sty m:val="p"/>
              </m:rPr>
              <m:t>≈</m:t>
            </m:r>
            <m:r>
              <m:rPr>
                <m:sty m:val="p"/>
              </m:rPr>
              <m:t>0.66</m:t>
            </m:r>
          </m:e>
        </m:box>
      </m:oMath>
      <w:r>
        <w:rPr>
          <w:rFonts w:ascii="Times New Roman" w:hAnsi="Times New Roman" w:eastAsia="MS Mincho"/>
          <w:b w:val="0"/>
          <w:i w:val="0"/>
          <w:sz w:val="20"/>
        </w:rPr>
        <w:t xml:space="preserve">) — are exactly those for which the PIM and CWON accounts are known to differ most in asset coverage or in the treatment of natural-resource rents. The RPIM diagnostic therefore serves as a simple, interpretable quality-control tool for national capital accounts: a country whose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deviates markedly from unity warrants closer investigation of the underlying asset-composition assumptions in both accounts.</w:t>
      </w:r>
    </w:p>
    <w:p>
      <w:pPr>
        <w:spacing w:before="360" w:after="120" w:line="360" w:lineRule="auto"/>
        <w:ind w:firstLine="0"/>
        <w:jc w:val="left"/>
      </w:pPr>
      <w:r>
        <w:rPr>
          <w:rFonts w:ascii="Times New Roman" w:hAnsi="Times New Roman" w:eastAsia="MS Mincho"/>
          <w:b/>
          <w:i w:val="0"/>
          <w:sz w:val="24"/>
        </w:rPr>
        <w:t>S.13 Depreciation–lag sensitivity (Supplementary Figure 7)</w:t>
      </w:r>
    </w:p>
    <w:p>
      <w:pPr>
        <w:spacing w:before="360" w:after="120"/>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fig7_delta_sensitivity_en.png"/>
                    <pic:cNvPicPr/>
                  </pic:nvPicPr>
                  <pic:blipFill>
                    <a:blip r:embed="rId15"/>
                    <a:stretch>
                      <a:fillRect/>
                    </a:stretch>
                  </pic:blipFill>
                  <pic:spPr>
                    <a:xfrm>
                      <a:off x="0" y="0"/>
                      <a:ext cx="5669280" cy="3401568"/>
                    </a:xfrm>
                    <a:prstGeom prst="rect"/>
                  </pic:spPr>
                </pic:pic>
              </a:graphicData>
            </a:graphic>
          </wp:inline>
        </w:drawing>
      </w:r>
    </w:p>
    <w:p>
      <w:pPr>
        <w:spacing w:after="240"/>
        <w:jc w:val="center"/>
      </w:pPr>
      <w:r>
        <w:rPr>
          <w:rFonts w:ascii="Times New Roman" w:hAnsi="Times New Roman" w:eastAsia="MS Mincho"/>
          <w:b/>
          <w:i w:val="0"/>
          <w:sz w:val="20"/>
        </w:rPr>
        <w:t xml:space="preserve">Supplementary Fig. 7. </w:t>
      </w:r>
      <w:r>
        <w:rPr>
          <w:rFonts w:ascii="Times New Roman" w:hAnsi="Times New Roman" w:eastAsia="MS Mincho"/>
          <w:b w:val="0"/>
          <w:i w:val="0"/>
          <w:sz w:val="20"/>
        </w:rPr>
        <w:t>Depreciation–lag sensitivity: estimated μ̂ under ±20% depreciation perturbations.</w:t>
      </w:r>
    </w:p>
    <w:p>
      <w:pPr>
        <w:spacing w:after="120" w:line="360" w:lineRule="auto"/>
        <w:ind w:firstLine="480"/>
      </w:pPr>
      <w:r>
        <w:rPr>
          <w:rFonts w:ascii="Times New Roman" w:hAnsi="Times New Roman" w:eastAsia="MS Mincho"/>
          <w:b w:val="0"/>
          <w:i w:val="0"/>
          <w:sz w:val="20"/>
        </w:rPr>
        <w:t xml:space="preserve">A natural concern (discussed further in Section 6.6) is that if the true depreciation rate </w:t>
      </w:r>
      <m:oMath xmlns:mml="http://www.w3.org/1998/Math/MathML">
        <m:box>
          <m:e>
            <m:r>
              <m:rPr>
                <m:sty m:val="i"/>
              </m:rPr>
              <m:t>δ</m:t>
            </m:r>
          </m:e>
        </m:box>
      </m:oMath>
      <w:r>
        <w:rPr>
          <w:rFonts w:ascii="Times New Roman" w:hAnsi="Times New Roman" w:eastAsia="MS Mincho"/>
          <w:b w:val="0"/>
          <w:i w:val="0"/>
          <w:sz w:val="20"/>
        </w:rPr>
        <w:t xml:space="preserve"> is itself drifting, some of what we attribute to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could instead be absorbed by a time-varying </w:t>
      </w:r>
      <m:oMath xmlns:mml="http://www.w3.org/1998/Math/MathML">
        <m:box>
          <m:e>
            <m:r>
              <m:rPr>
                <m:sty m:val="i"/>
              </m:rPr>
              <m:t>δ</m:t>
            </m:r>
            <m:r>
              <m:rPr>
                <m:sty m:val="p"/>
              </m:rPr>
              <m:t>(</m:t>
            </m:r>
            <m:r>
              <m:rPr>
                <m:sty m:val="i"/>
              </m:rPr>
              <m:t>t</m:t>
            </m:r>
            <m:r>
              <m:rPr>
                <m:sty m:val="p"/>
              </m:rPr>
              <m:t>)</m:t>
            </m:r>
            <m:r>
              <m:rPr>
                <m:sty m:val="p"/>
              </m:rPr>
              <m:t>.</m:t>
            </m:r>
          </m:e>
        </m:box>
      </m:oMath>
      <w:r>
        <w:rPr>
          <w:rFonts w:ascii="Times New Roman" w:hAnsi="Times New Roman" w:eastAsia="MS Mincho"/>
          <w:b w:val="0"/>
          <w:i w:val="0"/>
          <w:sz w:val="20"/>
        </w:rPr>
        <w:t xml:space="preserve"> We address this directly by re-estimating the constant lag </w:t>
      </w:r>
      <m:oMath xmlns:mml="http://www.w3.org/1998/Math/MathML">
        <m:box>
          <m:e>
            <m:acc>
              <m:accPr>
                <m:chr m:val="^"/>
              </m:accPr>
              <m:e>
                <m:r>
                  <m:rPr>
                    <m:sty m:val="i"/>
                  </m:rPr>
                  <m:t>μ</m:t>
                </m:r>
              </m:e>
            </m:acc>
          </m:e>
        </m:box>
      </m:oMath>
      <w:r>
        <w:rPr>
          <w:rFonts w:ascii="Times New Roman" w:hAnsi="Times New Roman" w:eastAsia="MS Mincho"/>
          <w:b w:val="0"/>
          <w:i w:val="0"/>
          <w:sz w:val="20"/>
        </w:rPr>
        <w:t xml:space="preserve"> (M1) under five depreciation scenarios: </w:t>
      </w:r>
      <m:oMath xmlns:mml="http://www.w3.org/1998/Math/MathML">
        <m:box>
          <m:e>
            <m:r>
              <m:rPr>
                <m:sty m:val="i"/>
              </m:rPr>
              <m:t>δ</m:t>
            </m:r>
            <m:r>
              <m:rPr>
                <m:sty m:val="i"/>
              </m:rPr>
              <m:t>×</m:t>
            </m:r>
          </m:e>
        </m:box>
      </m:oMath>
      <w:r>
        <w:rPr>
          <w:rFonts w:ascii="Times New Roman" w:hAnsi="Times New Roman" w:eastAsia="MS Mincho"/>
          <w:b w:val="0"/>
          <w:i w:val="0"/>
          <w:sz w:val="20"/>
        </w:rPr>
        <w:t xml:space="preserve"> {0.80, 0.90, 1.00, 1.10, 1.20}.</w:t>
      </w:r>
    </w:p>
    <w:p>
      <w:pPr>
        <w:spacing w:after="120" w:line="360" w:lineRule="auto"/>
        <w:ind w:firstLine="480"/>
      </w:pPr>
      <w:r>
        <w:rPr>
          <w:rFonts w:ascii="Times New Roman" w:hAnsi="Times New Roman" w:eastAsia="MS Mincho"/>
          <w:b w:val="0"/>
          <w:i w:val="0"/>
          <w:sz w:val="20"/>
        </w:rPr>
        <w:t xml:space="preserve">Supplementary Figure 7 shows the results. The main finding is that </w:t>
      </w:r>
      <m:oMath xmlns:mml="http://www.w3.org/1998/Math/MathML">
        <m:box>
          <m:e>
            <m:acc>
              <m:accPr>
                <m:chr m:val="^"/>
              </m:accPr>
              <m:e>
                <m:r>
                  <m:rPr>
                    <m:sty m:val="i"/>
                  </m:rPr>
                  <m:t>μ</m:t>
                </m:r>
              </m:e>
            </m:acc>
          </m:e>
        </m:box>
      </m:oMath>
      <w:r>
        <w:rPr>
          <w:rFonts w:ascii="Times New Roman" w:hAnsi="Times New Roman" w:eastAsia="MS Mincho"/>
          <w:b w:val="0"/>
          <w:i w:val="0"/>
          <w:sz w:val="20"/>
        </w:rPr>
        <w:t xml:space="preserve"> is remarkably stable across the ±20 % depreciation perturbation for most countries. The cross-country mean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moves from 1.61 years (</w:t>
      </w:r>
      <m:oMath xmlns:mml="http://www.w3.org/1998/Math/MathML">
        <m:box>
          <m:e>
            <m:r>
              <m:rPr>
                <m:sty m:val="i"/>
              </m:rPr>
              <m:t>δ</m:t>
            </m:r>
            <m:r>
              <m:rPr>
                <m:sty m:val="i"/>
              </m:rPr>
              <m:t>×</m:t>
            </m:r>
            <m:r>
              <m:rPr>
                <m:sty m:val="p"/>
              </m:rPr>
              <m:t>0.80</m:t>
            </m:r>
          </m:e>
        </m:box>
      </m:oMath>
      <w:r>
        <w:rPr>
          <w:rFonts w:ascii="Times New Roman" w:hAnsi="Times New Roman" w:eastAsia="MS Mincho"/>
          <w:b w:val="0"/>
          <w:i w:val="0"/>
          <w:sz w:val="20"/>
        </w:rPr>
        <w:t>) to 1.52 years (</w:t>
      </w:r>
      <m:oMath xmlns:mml="http://www.w3.org/1998/Math/MathML">
        <m:box>
          <m:e>
            <m:r>
              <m:rPr>
                <m:sty m:val="i"/>
              </m:rPr>
              <m:t>δ</m:t>
            </m:r>
            <m:r>
              <m:rPr>
                <m:sty m:val="i"/>
              </m:rPr>
              <m:t>×</m:t>
            </m:r>
            <m:r>
              <m:rPr>
                <m:sty m:val="p"/>
              </m:rPr>
              <m:t>1.20</m:t>
            </m:r>
          </m:e>
        </m:box>
      </m:oMath>
      <w:r>
        <w:rPr>
          <w:rFonts w:ascii="Times New Roman" w:hAnsi="Times New Roman" w:eastAsia="MS Mincho"/>
          <w:b w:val="0"/>
          <w:i w:val="0"/>
          <w:sz w:val="20"/>
        </w:rPr>
        <w:t xml:space="preserve">), a shift of only 0.09 years — less than 6 % of the baseline estimate. The median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is virtually invariant at 0.26 years across all five scenarios. Countries with interior-solution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values (Slovakia, Luxembourg, United Kingdom, Sweden, Slovenia, and Colombia) show the expected negative relationship: higher depreciation slightly reduces the estimated lag, since faster depreciation absorbs some of the growth-rate variation that would otherwise be attributed to the gestation delay. However, the sensitivity is quantitatively small: a ±20 % perturbation in </w:t>
      </w:r>
      <m:oMath xmlns:mml="http://www.w3.org/1998/Math/MathML">
        <m:box>
          <m:e>
            <m:r>
              <m:rPr>
                <m:sty m:val="i"/>
              </m:rPr>
              <m:t>δ</m:t>
            </m:r>
          </m:e>
        </m:box>
      </m:oMath>
      <w:r>
        <w:rPr>
          <w:rFonts w:ascii="Times New Roman" w:hAnsi="Times New Roman" w:eastAsia="MS Mincho"/>
          <w:b w:val="0"/>
          <w:i w:val="0"/>
          <w:sz w:val="20"/>
        </w:rPr>
        <w:t xml:space="preserve"> moves </w:t>
      </w:r>
      <m:oMath xmlns:mml="http://www.w3.org/1998/Math/MathML">
        <m:box>
          <m:e>
            <m:acc>
              <m:accPr>
                <m:chr m:val="^"/>
              </m:accPr>
              <m:e>
                <m:r>
                  <m:rPr>
                    <m:sty m:val="i"/>
                  </m:rPr>
                  <m:t>μ</m:t>
                </m:r>
              </m:e>
            </m:acc>
          </m:e>
        </m:box>
      </m:oMath>
      <w:r>
        <w:rPr>
          <w:rFonts w:ascii="Times New Roman" w:hAnsi="Times New Roman" w:eastAsia="MS Mincho"/>
          <w:b w:val="0"/>
          <w:i w:val="0"/>
          <w:sz w:val="20"/>
        </w:rPr>
        <w:t xml:space="preserve"> by at most 1.25 years even for the most sensitive country (Slovakia: 5.75 → 4.50 years; Luxembourg: 3.75 → 3.00 years). The qualitative conclusion — that a nonzero lag improves out-of-sample fit — is robust to any plausible depreciation mis-specification within this range.</w:t>
      </w:r>
    </w:p>
    <w:p>
      <w:pPr>
        <w:spacing w:before="360" w:after="120" w:line="360" w:lineRule="auto"/>
        <w:ind w:firstLine="0"/>
        <w:jc w:val="left"/>
      </w:pPr>
      <w:r>
        <w:rPr>
          <w:rFonts w:ascii="Times New Roman" w:hAnsi="Times New Roman" w:eastAsia="MS Mincho"/>
          <w:b/>
          <w:i w:val="0"/>
          <w:sz w:val="24"/>
        </w:rPr>
        <w:t>S.14 Conditional out-of-sample evaluation (Supplementary Figure 8)</w:t>
      </w:r>
    </w:p>
    <w:p>
      <w:pPr>
        <w:spacing w:before="360" w:after="120"/>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fig8_conditional_oos_en.png"/>
                    <pic:cNvPicPr/>
                  </pic:nvPicPr>
                  <pic:blipFill>
                    <a:blip r:embed="rId16"/>
                    <a:stretch>
                      <a:fillRect/>
                    </a:stretch>
                  </pic:blipFill>
                  <pic:spPr>
                    <a:xfrm>
                      <a:off x="0" y="0"/>
                      <a:ext cx="5669280" cy="3401568"/>
                    </a:xfrm>
                    <a:prstGeom prst="rect"/>
                  </pic:spPr>
                </pic:pic>
              </a:graphicData>
            </a:graphic>
          </wp:inline>
        </w:drawing>
      </w:r>
    </w:p>
    <w:p>
      <w:pPr>
        <w:spacing w:after="240"/>
        <w:jc w:val="center"/>
      </w:pPr>
      <w:r>
        <w:rPr>
          <w:rFonts w:ascii="Times New Roman" w:hAnsi="Times New Roman" w:eastAsia="MS Mincho"/>
          <w:b/>
          <w:i w:val="0"/>
          <w:sz w:val="20"/>
        </w:rPr>
        <w:t xml:space="preserve">Supplementary Fig. 8. </w:t>
      </w:r>
      <w:r>
        <w:rPr>
          <w:rFonts w:ascii="Times New Roman" w:hAnsi="Times New Roman" w:eastAsia="MS Mincho"/>
          <w:b w:val="0"/>
          <w:i w:val="0"/>
          <w:sz w:val="20"/>
        </w:rPr>
        <w:t>Conditional OOS evaluation: interior-solution vs boundary countries.</w:t>
      </w:r>
    </w:p>
    <w:p>
      <w:pPr>
        <w:spacing w:after="120" w:line="360" w:lineRule="auto"/>
        <w:ind w:firstLine="480"/>
      </w:pPr>
      <w:r>
        <w:rPr>
          <w:rFonts w:ascii="Times New Roman" w:hAnsi="Times New Roman" w:eastAsia="MS Mincho"/>
          <w:b w:val="0"/>
          <w:i w:val="0"/>
          <w:sz w:val="20"/>
        </w:rPr>
        <w:t xml:space="preserve">Table 1 reports that M4 (joint tempo + intangible) achieves an out-of-sample MAPE of 4.61 %, virtually identical to M0 (4.60 %). This apparent non-improvement deserves scrutiny. In the constant-lag (M1) grid search, 25 of the 39 countries hit a boundary for </w:t>
      </w:r>
      <m:oMath xmlns:mml="http://www.w3.org/1998/Math/MathML">
        <m:box>
          <m:e>
            <m:r>
              <m:rPr>
                <m:sty m:val="i"/>
              </m:rPr>
              <m:t>μ</m:t>
            </m:r>
          </m:e>
        </m:box>
      </m:oMath>
      <w:r>
        <w:rPr>
          <w:rFonts w:ascii="Times New Roman" w:hAnsi="Times New Roman" w:eastAsia="MS Mincho"/>
          <w:b w:val="0"/>
          <w:i w:val="0"/>
          <w:sz w:val="20"/>
        </w:rPr>
        <w:t>: 18 at the lower bound (0.01, effectively zero lag) and 7 at the upper bound (6.0). For the lower-bound countries the lag correction is mechanically inoperative (</w:t>
      </w:r>
      <m:oMath xmlns:mml="http://www.w3.org/1998/Math/MathML">
        <m:box>
          <m:e>
            <m:acc>
              <m:accPr>
                <m:chr m:val="^"/>
              </m:accPr>
              <m:e>
                <m:r>
                  <m:rPr>
                    <m:sty m:val="i"/>
                  </m:rPr>
                  <m:t>μ</m:t>
                </m:r>
              </m:e>
            </m:acc>
            <m:r>
              <m:rPr>
                <m:sty m:val="p"/>
              </m:rPr>
              <m:t>≈</m:t>
            </m:r>
            <m:r>
              <m:rPr>
                <m:sty m:val="p"/>
              </m:rPr>
              <m:t>0</m:t>
            </m:r>
          </m:e>
        </m:box>
      </m:oMath>
      <w:r>
        <w:rPr>
          <w:rFonts w:ascii="Times New Roman" w:hAnsi="Times New Roman" w:eastAsia="MS Mincho"/>
          <w:b w:val="0"/>
          <w:i w:val="0"/>
          <w:sz w:val="20"/>
        </w:rPr>
        <w:t xml:space="preserve"> ≡ M0), while for the upper-bound countries the lag is constrained at the longest admissible value, so the full-sample M0–M4 comparison conflates several distinct groups.</w:t>
      </w:r>
    </w:p>
    <w:p>
      <w:pPr>
        <w:spacing w:after="120" w:line="360" w:lineRule="auto"/>
        <w:ind w:firstLine="480"/>
      </w:pPr>
      <w:r>
        <w:rPr>
          <w:rFonts w:ascii="Times New Roman" w:hAnsi="Times New Roman" w:eastAsia="MS Mincho"/>
          <w:b w:val="0"/>
          <w:i w:val="0"/>
          <w:sz w:val="20"/>
        </w:rPr>
        <w:t>Supplementary Figure 8 therefore reports the OOS performance separately for the 14 interior-solution countries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 (0.02, 5.9)): Australia, Belgium, Canada, Chile, Colombia, Denmark, Iceland, Republic of Korea, Luxembourg, Norway, Slovakia, Slovenia, Sweden, and the United Kingdom. For this subsample, M1 (constant lag) achieves a median MAPE of 4.23 %, slightly below M0's 4.27 %. For the boundary-solution countries, M1 and M2 also improve over M0 (boundary M1 = 3.98 %, boundary M2 = 3.83 % vs. boundary M0 = 4.72 %), reflecting the contribution of countries whose estimated lag is at the upper bound. The key insight is that the full-sample median mixes countries where the lag correction is mechanically inoperative, countries where it is constrained at the boundary, and countries where it is freely estimated in the interior.</w:t>
      </w:r>
    </w:p>
    <w:p>
      <w:pPr>
        <w:spacing w:before="360" w:after="120" w:line="360" w:lineRule="auto"/>
        <w:ind w:firstLine="0"/>
        <w:jc w:val="left"/>
      </w:pPr>
      <w:r>
        <w:rPr>
          <w:rFonts w:ascii="Times New Roman" w:hAnsi="Times New Roman" w:eastAsia="MS Mincho"/>
          <w:b/>
          <w:i w:val="0"/>
          <w:sz w:val="24"/>
        </w:rPr>
        <w:t>S.15 Extended out-of-sample metrics (Supplementary Table 7)</w:t>
      </w:r>
    </w:p>
    <w:p>
      <w:pPr>
        <w:spacing w:after="120" w:line="360" w:lineRule="auto"/>
        <w:ind w:firstLine="480"/>
      </w:pPr>
      <w:r>
        <w:rPr>
          <w:rFonts w:ascii="Times New Roman" w:hAnsi="Times New Roman" w:eastAsia="MS Mincho"/>
          <w:b w:val="0"/>
          <w:i w:val="0"/>
          <w:sz w:val="20"/>
        </w:rPr>
        <w:t xml:space="preserve">MAPE measures average percentage error in GDP levels but does not capture whether models track the </w:t>
      </w:r>
      <w:r>
        <w:rPr>
          <w:rFonts w:ascii="Times New Roman" w:hAnsi="Times New Roman" w:eastAsia="MS Mincho"/>
          <w:b w:val="0"/>
          <w:i/>
          <w:sz w:val="20"/>
        </w:rPr>
        <w:t>direction</w:t>
      </w:r>
      <w:r>
        <w:rPr>
          <w:rFonts w:ascii="Times New Roman" w:hAnsi="Times New Roman" w:eastAsia="MS Mincho"/>
          <w:b w:val="0"/>
          <w:i w:val="0"/>
          <w:sz w:val="20"/>
        </w:rPr>
        <w:t xml:space="preserve"> of GDP growth or the </w:t>
      </w:r>
      <w:r>
        <w:rPr>
          <w:rFonts w:ascii="Times New Roman" w:hAnsi="Times New Roman" w:eastAsia="MS Mincho"/>
          <w:b w:val="0"/>
          <w:i/>
          <w:sz w:val="20"/>
        </w:rPr>
        <w:t>trajectory</w:t>
      </w:r>
      <w:r>
        <w:rPr>
          <w:rFonts w:ascii="Times New Roman" w:hAnsi="Times New Roman" w:eastAsia="MS Mincho"/>
          <w:b w:val="0"/>
          <w:i w:val="0"/>
          <w:sz w:val="20"/>
        </w:rPr>
        <w:t xml:space="preserve"> of the wealth-side capital stock. Supplementary Table 7 reports two additional metrics computed on the 2015–2019 hold-out window.</w:t>
      </w:r>
    </w:p>
    <w:p>
      <w:pPr>
        <w:spacing w:after="120" w:line="360" w:lineRule="auto"/>
        <w:ind w:firstLine="480"/>
      </w:pPr>
      <w:r>
        <w:rPr>
          <w:rFonts w:ascii="Times New Roman" w:hAnsi="Times New Roman" w:eastAsia="MS Mincho"/>
          <w:b w:val="0"/>
          <w:i w:val="0"/>
          <w:sz w:val="20"/>
        </w:rPr>
        <w:t>First, direction accuracy — the fraction of test years for which the model correctly predicts the sign of GDP growth — is uniformly high across all models (median 100 %), reflecting the fact that GDP growth was positive in almost all OECD economies throughout 2015–2019. Direction accuracy therefore does not discriminate among models in this sample but would become diagnostic in a sample spanning a recession.</w:t>
      </w:r>
    </w:p>
    <w:p>
      <w:pPr>
        <w:spacing w:after="120" w:line="360" w:lineRule="auto"/>
        <w:ind w:firstLine="480"/>
      </w:pPr>
      <w:r>
        <w:rPr>
          <w:rFonts w:ascii="Times New Roman" w:hAnsi="Times New Roman" w:eastAsia="MS Mincho"/>
          <w:b w:val="0"/>
          <w:i w:val="0"/>
          <w:sz w:val="20"/>
        </w:rPr>
        <w:t>Second, the CWON trajectory RMSE measures how well each model's PIM capital stock tracks the CWON produced-capital trajectory on the hold-out years (demeaned log comparison). Here M2 (tempo drift) achieves the lowest median RMSE (0.0072), compared with M0 (0.0085) — a 15.3 % improvement. M1 (constant lag) is intermediate (0.0077). M4 achieves 0.0085, similar to M0, because the intangible correction shifts the level but not the growth trajectory of the capital stock. The trajectory metric therefore reveals a dimension of model performance that MAPE misses: tempo drift (M2) improves the alignment of PIM capital with wealth-side observations, even when the GDP-level forecast accuracy is comparable.</w:t>
      </w:r>
    </w:p>
    <w:p>
      <w:pPr>
        <w:spacing w:before="360" w:after="120" w:line="360" w:lineRule="auto"/>
        <w:ind w:firstLine="0"/>
        <w:jc w:val="left"/>
      </w:pPr>
      <w:r>
        <w:rPr>
          <w:rFonts w:ascii="Times New Roman" w:hAnsi="Times New Roman" w:eastAsia="MS Mincho"/>
          <w:b/>
          <w:i w:val="0"/>
          <w:sz w:val="24"/>
        </w:rPr>
        <w:t>S.16 Counterfactual wealth: what if β entered official statistics? (Supplementary Figure 9)</w:t>
      </w:r>
    </w:p>
    <w:p>
      <w:pPr>
        <w:spacing w:before="360" w:after="120"/>
        <w:jc w:val="center"/>
      </w:pPr>
      <w:r>
        <w:drawing>
          <wp:inline xmlns:a="http://schemas.openxmlformats.org/drawingml/2006/main" xmlns:pic="http://schemas.openxmlformats.org/drawingml/2006/picture">
            <wp:extent cx="5669280" cy="2799703"/>
            <wp:docPr id="9" name="Picture 9"/>
            <wp:cNvGraphicFramePr>
              <a:graphicFrameLocks noChangeAspect="1"/>
            </wp:cNvGraphicFramePr>
            <a:graphic>
              <a:graphicData uri="http://schemas.openxmlformats.org/drawingml/2006/picture">
                <pic:pic>
                  <pic:nvPicPr>
                    <pic:cNvPr id="0" name="fig14_counterfactual_wealth_en.png"/>
                    <pic:cNvPicPr/>
                  </pic:nvPicPr>
                  <pic:blipFill>
                    <a:blip r:embed="rId17"/>
                    <a:stretch>
                      <a:fillRect/>
                    </a:stretch>
                  </pic:blipFill>
                  <pic:spPr>
                    <a:xfrm>
                      <a:off x="0" y="0"/>
                      <a:ext cx="5669280" cy="2799703"/>
                    </a:xfrm>
                    <a:prstGeom prst="rect"/>
                  </pic:spPr>
                </pic:pic>
              </a:graphicData>
            </a:graphic>
          </wp:inline>
        </w:drawing>
      </w:r>
    </w:p>
    <w:p>
      <w:pPr>
        <w:spacing w:after="240"/>
        <w:jc w:val="center"/>
      </w:pPr>
      <w:r>
        <w:rPr>
          <w:rFonts w:ascii="Times New Roman" w:hAnsi="Times New Roman" w:eastAsia="MS Mincho"/>
          <w:b/>
          <w:i w:val="0"/>
          <w:sz w:val="20"/>
        </w:rPr>
        <w:t xml:space="preserve">Supplementary Fig. 9. </w:t>
      </w:r>
      <w:r>
        <w:rPr>
          <w:rFonts w:ascii="Times New Roman" w:hAnsi="Times New Roman" w:eastAsia="MS Mincho"/>
          <w:b w:val="0"/>
          <w:i w:val="0"/>
          <w:sz w:val="20"/>
        </w:rPr>
        <w:t>National wealth: CWON official vs intangible-adjusted produced capital (2019).</w:t>
      </w:r>
    </w:p>
    <w:p>
      <w:pPr>
        <w:spacing w:after="120" w:line="360" w:lineRule="auto"/>
        <w:ind w:firstLine="480"/>
      </w:pPr>
      <w:r>
        <w:rPr>
          <w:rFonts w:ascii="Times New Roman" w:hAnsi="Times New Roman" w:eastAsia="MS Mincho"/>
          <w:b w:val="0"/>
          <w:i w:val="0"/>
          <w:sz w:val="20"/>
        </w:rPr>
        <w:t xml:space="preserve">The intangible capital share </w:t>
      </w:r>
      <m:oMath xmlns:mml="http://www.w3.org/1998/Math/MathML">
        <m:box>
          <m:e>
            <m:r>
              <m:rPr>
                <m:sty m:val="i"/>
              </m:rPr>
              <m:t>β</m:t>
            </m:r>
          </m:e>
        </m:box>
      </m:oMath>
      <w:r>
        <w:rPr>
          <w:rFonts w:ascii="Times New Roman" w:hAnsi="Times New Roman" w:eastAsia="MS Mincho"/>
          <w:b w:val="0"/>
          <w:i w:val="0"/>
          <w:sz w:val="20"/>
        </w:rPr>
        <w:t xml:space="preserve"> has a direct policy implication: if </w:t>
      </w:r>
      <m:oMath xmlns:mml="http://www.w3.org/1998/Math/MathML">
        <m:box>
          <m:e>
            <m:r>
              <m:rPr>
                <m:sty m:val="i"/>
              </m:rPr>
              <m:t>β</m:t>
            </m:r>
          </m:e>
        </m:box>
      </m:oMath>
      <w:r>
        <w:rPr>
          <w:rFonts w:ascii="Times New Roman" w:hAnsi="Times New Roman" w:eastAsia="MS Mincho"/>
          <w:b w:val="0"/>
          <w:i w:val="0"/>
          <w:sz w:val="20"/>
        </w:rPr>
        <w:t xml:space="preserve"> were included in official wealth accounts, national produced capital would be revised upward. To quantify this, we compute the counterfactual produced capital for each country at 2019 as </w:t>
      </w:r>
      <m:oMath xmlns:mml="http://www.w3.org/1998/Math/MathML">
        <m:box>
          <m:e>
            <m:r>
              <m:rPr>
                <m:sty m:val="i"/>
              </m:rPr>
              <m:t>C</m:t>
            </m:r>
            <m:r>
              <m:rPr>
                <m:sty m:val="i"/>
              </m:rPr>
              <m:t>W</m:t>
            </m:r>
            <m:r>
              <m:rPr>
                <m:sty m:val="i"/>
              </m:rPr>
              <m:t>O</m:t>
            </m:r>
            <m:sSub>
              <m:e>
                <m:r>
                  <m:rPr>
                    <m:sty m:val="i"/>
                  </m:rPr>
                  <m:t>N</m:t>
                </m:r>
              </m:e>
              <m:sub>
                <m:box>
                  <m:e>
                    <m:r>
                      <m:rPr>
                        <m:sty m:val="i"/>
                      </m:rPr>
                      <m:t>P</m:t>
                    </m:r>
                    <m:r>
                      <m:rPr>
                        <m:sty m:val="i"/>
                      </m:rPr>
                      <m:t>C</m:t>
                    </m:r>
                    <m:r>
                      <m:rPr>
                        <m:sty m:val="i"/>
                      </m:rPr>
                      <m:t>A</m:t>
                    </m:r>
                  </m:e>
                </m:box>
              </m:sub>
            </m:sSub>
            <m:r>
              <m:rPr>
                <m:sty m:val="i"/>
              </m:rPr>
              <m:t>×</m:t>
            </m:r>
          </m:e>
        </m:box>
      </m:oMath>
      <w:r>
        <w:rPr>
          <w:rFonts w:ascii="Times New Roman" w:hAnsi="Times New Roman" w:eastAsia="MS Mincho"/>
          <w:b w:val="0"/>
          <w:i w:val="0"/>
          <w:sz w:val="20"/>
        </w:rPr>
        <w:t xml:space="preserve"> (1 + </w:t>
      </w:r>
      <m:oMath xmlns:mml="http://www.w3.org/1998/Math/MathML">
        <m:box>
          <m:e>
            <m:acc>
              <m:accPr>
                <m:chr m:val="^"/>
              </m:accPr>
              <m:e>
                <m:r>
                  <m:rPr>
                    <m:sty m:val="i"/>
                  </m:rPr>
                  <m:t>β</m:t>
                </m:r>
              </m:e>
            </m:acc>
            <m:r>
              <m:rPr>
                <m:sty m:val="i"/>
              </m:rPr>
              <m:t>×</m:t>
            </m:r>
            <m:sSub>
              <m:e>
                <m:r>
                  <m:rPr>
                    <m:sty m:val="i"/>
                  </m:rPr>
                  <m:t>K</m:t>
                </m:r>
              </m:e>
              <m:sub>
                <m:box>
                  <m:e>
                    <m:r>
                      <m:rPr>
                        <m:sty m:val="i"/>
                      </m:rPr>
                      <m:t>I</m:t>
                    </m:r>
                  </m:e>
                </m:box>
              </m:sub>
            </m:sSub>
            <m:r>
              <m:rPr>
                <m:sty m:val="p"/>
              </m:rPr>
              <m:t>/</m:t>
            </m:r>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where </w:t>
      </w:r>
      <m:oMath xmlns:mml="http://www.w3.org/1998/Math/MathML">
        <m:box>
          <m:e>
            <m:sSub>
              <m:e>
                <m:r>
                  <m:rPr>
                    <m:sty m:val="i"/>
                  </m:rPr>
                  <m:t>K</m:t>
                </m:r>
              </m:e>
              <m:sub>
                <m:box>
                  <m:e>
                    <m:r>
                      <m:rPr>
                        <m:sty m:val="i"/>
                      </m:rPr>
                      <m:t>I</m:t>
                    </m:r>
                  </m:e>
                </m:box>
              </m:sub>
            </m:sSub>
            <m:r>
              <m:rPr>
                <m:sty m:val="p"/>
              </m:rPr>
              <m:t>/</m:t>
            </m:r>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is the ratio of the intangible to tangible PIM stock evaluated at 2019.</w:t>
      </w:r>
    </w:p>
    <w:p>
      <w:pPr>
        <w:spacing w:after="120" w:line="360" w:lineRule="auto"/>
        <w:ind w:firstLine="480"/>
      </w:pPr>
      <w:r>
        <w:rPr>
          <w:rFonts w:ascii="Times New Roman" w:hAnsi="Times New Roman" w:eastAsia="MS Mincho"/>
          <w:b w:val="0"/>
          <w:i w:val="0"/>
          <w:sz w:val="20"/>
        </w:rPr>
        <w:t xml:space="preserve">Supplementary Figure 9 displays the results for the 21 countries with </w:t>
      </w:r>
      <m:oMath xmlns:mml="http://www.w3.org/1998/Math/MathML">
        <m:box>
          <m:e>
            <m:acc>
              <m:accPr>
                <m:chr m:val="^"/>
              </m:accPr>
              <m:e>
                <m:r>
                  <m:rPr>
                    <m:sty m:val="i"/>
                  </m:rPr>
                  <m:t>β</m:t>
                </m:r>
              </m:e>
            </m:acc>
          </m:e>
        </m:box>
      </m:oMath>
      <w:r>
        <w:rPr>
          <w:rFonts w:ascii="Times New Roman" w:hAnsi="Times New Roman" w:eastAsia="MS Mincho"/>
          <w:b w:val="0"/>
          <w:i w:val="0"/>
          <w:sz w:val="20"/>
        </w:rPr>
        <w:t xml:space="preserve"> &gt; 0. The Netherlands, France, and Norway show the largest adjustments (0.9–1.1 %), reflecting the combination of high </w:t>
      </w:r>
      <m:oMath xmlns:mml="http://www.w3.org/1998/Math/MathML">
        <m:box>
          <m:e>
            <m:acc>
              <m:accPr>
                <m:chr m:val="^"/>
              </m:accPr>
              <m:e>
                <m:r>
                  <m:rPr>
                    <m:sty m:val="i"/>
                  </m:rPr>
                  <m:t>β</m:t>
                </m:r>
              </m:e>
            </m:acc>
          </m:e>
        </m:box>
      </m:oMath>
      <w:r>
        <w:rPr>
          <w:rFonts w:ascii="Times New Roman" w:hAnsi="Times New Roman" w:eastAsia="MS Mincho"/>
          <w:b w:val="0"/>
          <w:i w:val="0"/>
          <w:sz w:val="20"/>
        </w:rPr>
        <w:t xml:space="preserve"> (0.34) and high R&amp;D-to-GDP ratios. For total national wealth (CWON total), the adjustments are 0.1–0.3 % because produced capital is only one component of total wealth. These are conservative lower bounds because the intangible stock is proxied by R&amp;D expenditure alone; a broader intangible measure (Corrado et al., 2005) including organisational capital, brand equity, and training would produce larger adjustments. The right-hand columns of Supplementary Table 4 therefore add 1.5×, 2.0× and 3.0× R&amp;D scalings to bracket how large the adjustment could become if the R&amp;D proxy is expanded to a full intangible-capital total.</w:t>
      </w:r>
    </w:p>
    <w:p>
      <w:pPr>
        <w:spacing w:after="120" w:line="360" w:lineRule="auto"/>
        <w:ind w:firstLine="480"/>
      </w:pPr>
      <w:r>
        <w:rPr>
          <w:rFonts w:ascii="Times New Roman" w:hAnsi="Times New Roman" w:eastAsia="MS Mincho"/>
          <w:b w:val="0"/>
          <w:i w:val="0"/>
          <w:sz w:val="20"/>
        </w:rPr>
        <w:t>The policy implication is concrete: countries that omit intangibles from their wealth accounts systematically understate the productive capital base on which future growth depends. This understatement is small in aggregate but concentrated in the most innovation-intensive economies, precisely where accurate measurement of the knowledge economy matters most.</w:t>
      </w:r>
    </w:p>
    <w:p>
      <w:pPr>
        <w:spacing w:before="360" w:after="120" w:line="360" w:lineRule="auto"/>
        <w:ind w:firstLine="0"/>
        <w:jc w:val="left"/>
      </w:pPr>
      <w:r>
        <w:rPr>
          <w:rFonts w:ascii="Times New Roman" w:hAnsi="Times New Roman" w:eastAsia="MS Mincho"/>
          <w:b/>
          <w:i w:val="0"/>
          <w:sz w:val="24"/>
        </w:rPr>
        <w:t>S.17 Future forecast scenarios (2020–2040) (Supplementary Figure 10 and Supplementary Table 8)</w:t>
      </w:r>
    </w:p>
    <w:p>
      <w:pPr>
        <w:spacing w:before="360" w:after="120"/>
        <w:jc w:val="center"/>
      </w:pPr>
      <w:r>
        <w:drawing>
          <wp:inline xmlns:a="http://schemas.openxmlformats.org/drawingml/2006/main" xmlns:pic="http://schemas.openxmlformats.org/drawingml/2006/picture">
            <wp:extent cx="5669280" cy="3774066"/>
            <wp:docPr id="10" name="Picture 10"/>
            <wp:cNvGraphicFramePr>
              <a:graphicFrameLocks noChangeAspect="1"/>
            </wp:cNvGraphicFramePr>
            <a:graphic>
              <a:graphicData uri="http://schemas.openxmlformats.org/drawingml/2006/picture">
                <pic:pic>
                  <pic:nvPicPr>
                    <pic:cNvPr id="0" name="fig15_future_scenarios_en.png"/>
                    <pic:cNvPicPr/>
                  </pic:nvPicPr>
                  <pic:blipFill>
                    <a:blip r:embed="rId18"/>
                    <a:stretch>
                      <a:fillRect/>
                    </a:stretch>
                  </pic:blipFill>
                  <pic:spPr>
                    <a:xfrm>
                      <a:off x="0" y="0"/>
                      <a:ext cx="5669280" cy="3774066"/>
                    </a:xfrm>
                    <a:prstGeom prst="rect"/>
                  </pic:spPr>
                </pic:pic>
              </a:graphicData>
            </a:graphic>
          </wp:inline>
        </w:drawing>
      </w:r>
    </w:p>
    <w:p>
      <w:pPr>
        <w:spacing w:after="240"/>
        <w:jc w:val="center"/>
      </w:pPr>
      <w:r>
        <w:rPr>
          <w:rFonts w:ascii="Times New Roman" w:hAnsi="Times New Roman" w:eastAsia="MS Mincho"/>
          <w:b/>
          <w:i w:val="0"/>
          <w:sz w:val="20"/>
        </w:rPr>
        <w:t xml:space="preserve">Supplementary Fig. 10. </w:t>
      </w:r>
      <w:r>
        <w:rPr>
          <w:rFonts w:ascii="Times New Roman" w:hAnsi="Times New Roman" w:eastAsia="MS Mincho"/>
          <w:b w:val="0"/>
          <w:i w:val="0"/>
          <w:sz w:val="20"/>
        </w:rPr>
        <w:t>2020–2040 GDP-level scenarios (2019=100) for selected countries, including M4 baseline, level-only TFP (2019 held fixed), AI surge, and fiscal-stimulus variants.</w:t>
      </w:r>
    </w:p>
    <w:p>
      <w:pPr>
        <w:spacing w:after="120" w:line="360" w:lineRule="auto"/>
        <w:ind w:firstLine="480"/>
      </w:pPr>
      <w:r>
        <w:rPr>
          <w:rFonts w:ascii="Times New Roman" w:hAnsi="Times New Roman" w:eastAsia="MS Mincho"/>
          <w:b w:val="0"/>
          <w:i w:val="0"/>
          <w:sz w:val="20"/>
        </w:rPr>
        <w:t>To illustrate how the measurement corrections propagate into forward-looking output paths, we simulate mechanical projections for all 39 sample countries plus selected economies that span advanced and emerging-market cases. These are not economic forecasts: they hold policy, demographics, terms of trade, and technology diffusion fixed at historical patterns and extrapolate the estimated accounting corrections. For countries whose 2010–2019 investment or R&amp;D series are too short or contain non-positive values to estimate a log growth rate, we apply a conservative 2 % per annum fallback (the historical long-run growth rate of real investment in the sample). This fallback is documented and flagged in Supplementary Table 8.</w:t>
      </w:r>
    </w:p>
    <w:p>
      <w:pPr>
        <w:spacing w:after="120" w:line="360" w:lineRule="auto"/>
        <w:ind w:firstLine="480"/>
      </w:pPr>
      <w:r>
        <w:rPr>
          <w:rFonts w:ascii="Times New Roman" w:hAnsi="Times New Roman" w:eastAsia="MS Mincho"/>
          <w:b w:val="0"/>
          <w:i w:val="0"/>
          <w:sz w:val="20"/>
        </w:rPr>
        <w:t xml:space="preserve">Supplementary Figure 10 highlights six representative economies: the United States, Japan, Germany, the Republic of Korea, China and Colombia, covering high-R&amp;D advanced economies, a resource-intensive emerging market and a large manufacturing exporter. Under the M2 trend-continuation scenario, GDP in 2040 is slightly above the M0 baseline for most economies because the time-varying lag slows measured capital accumulation and raises measured TFP; the M2 stabilisation and M4 baseline trajectories are close to the M0 baseline. The M4 AI/digital investment surge scenario adds an extra annual growth increment to R&amp;D-driven intangible investment; in R&amp;D-intensive economies this raises the 2040 GDP index relative to the M4 baseline. The M4 TFP stagnation scenario holds TFP flat at its 2019 level and shows the largest divergence from baseline growth because it removes the assumed continuation of trend TFP growth. The M4 TFP level-only scenario instead freezes the 2019 TFP </w:t>
      </w:r>
      <w:r>
        <w:rPr>
          <w:rFonts w:ascii="Times New Roman" w:hAnsi="Times New Roman" w:eastAsia="MS Mincho"/>
          <w:b w:val="0"/>
          <w:i/>
          <w:sz w:val="20"/>
        </w:rPr>
        <w:t>level</w:t>
      </w:r>
      <w:r>
        <w:rPr>
          <w:rFonts w:ascii="Times New Roman" w:hAnsi="Times New Roman" w:eastAsia="MS Mincho"/>
          <w:b w:val="0"/>
          <w:i w:val="0"/>
          <w:sz w:val="20"/>
        </w:rPr>
        <w:t xml:space="preserve"> rather than the 2010–2019 trend, separating the pure level effect of the capital-stock correction from trend extrapolation. Finally, the M4 fiscal-stimulus scenario adds public investment equal to 2 % of 2019 GDP each year, growing with the M4-corrected output path; this links the measurement correction directly to a stylised fiscal-capacity calculation and shows how much additional output a sustained public-investment programme could generate once the capital-stock base is measured consistently. All of the AI/digital, fiscal-stimulus and TFP level-only scenarios are stylised projections, not economic forecasts or policy prescriptions; they isolate the sensitivity of measured output paths to alternative accounting assumptions and hold policy, demographics, terms of trade and technology diffusion fixed.</w:t>
      </w:r>
    </w:p>
    <w:p>
      <w:pPr>
        <w:spacing w:after="120" w:line="360" w:lineRule="auto"/>
        <w:ind w:firstLine="480"/>
      </w:pPr>
      <w:r>
        <w:rPr>
          <w:rFonts w:ascii="Times New Roman" w:hAnsi="Times New Roman" w:eastAsia="MS Mincho"/>
          <w:b w:val="0"/>
          <w:i w:val="0"/>
          <w:sz w:val="20"/>
        </w:rPr>
        <w:t>Supplementary Table 8 reports the 2030 and 2040 indices for all countries and for all five scenario variants. The policy message is that measurement-sensitive variables — the capital-stock level, the TFP trend and the treatment of intangible investment — are exactly the inputs that enter fiscal-sustainability and monetary-policy reaction functions. Correcting them therefore changes the baseline against which policy is calibrated.</w:t>
      </w:r>
    </w:p>
    <w:p>
      <w:pPr>
        <w:spacing w:before="360" w:after="120" w:line="360" w:lineRule="auto"/>
        <w:ind w:firstLine="0"/>
        <w:jc w:val="left"/>
      </w:pPr>
      <w:r>
        <w:rPr>
          <w:rFonts w:ascii="Times New Roman" w:hAnsi="Times New Roman" w:eastAsia="MS Mincho"/>
          <w:b/>
          <w:i w:val="0"/>
          <w:sz w:val="24"/>
        </w:rPr>
        <w:t>S.18 Cross-country clusters by (μ, β) and asset composition (Supplementary Figure 11 and Table 9)</w:t>
      </w:r>
    </w:p>
    <w:p>
      <w:pPr>
        <w:spacing w:before="360" w:after="120"/>
        <w:jc w:val="center"/>
      </w:pPr>
      <w:r>
        <w:drawing>
          <wp:inline xmlns:a="http://schemas.openxmlformats.org/drawingml/2006/main" xmlns:pic="http://schemas.openxmlformats.org/drawingml/2006/picture">
            <wp:extent cx="5669280" cy="4386715"/>
            <wp:docPr id="11" name="Picture 11"/>
            <wp:cNvGraphicFramePr>
              <a:graphicFrameLocks noChangeAspect="1"/>
            </wp:cNvGraphicFramePr>
            <a:graphic>
              <a:graphicData uri="http://schemas.openxmlformats.org/drawingml/2006/picture">
                <pic:pic>
                  <pic:nvPicPr>
                    <pic:cNvPr id="0" name="fig16_country_clusters_en.png"/>
                    <pic:cNvPicPr/>
                  </pic:nvPicPr>
                  <pic:blipFill>
                    <a:blip r:embed="rId19"/>
                    <a:stretch>
                      <a:fillRect/>
                    </a:stretch>
                  </pic:blipFill>
                  <pic:spPr>
                    <a:xfrm>
                      <a:off x="0" y="0"/>
                      <a:ext cx="5669280" cy="4386715"/>
                    </a:xfrm>
                    <a:prstGeom prst="rect"/>
                  </pic:spPr>
                </pic:pic>
              </a:graphicData>
            </a:graphic>
          </wp:inline>
        </w:drawing>
      </w:r>
    </w:p>
    <w:p>
      <w:pPr>
        <w:spacing w:after="240"/>
        <w:jc w:val="center"/>
      </w:pPr>
      <w:r>
        <w:rPr>
          <w:rFonts w:ascii="Times New Roman" w:hAnsi="Times New Roman" w:eastAsia="MS Mincho"/>
          <w:b/>
          <w:i w:val="0"/>
          <w:sz w:val="20"/>
        </w:rPr>
        <w:t xml:space="preserve">Supplementary Fig. 11. </w:t>
      </w:r>
      <w:r>
        <w:rPr>
          <w:rFonts w:ascii="Times New Roman" w:hAnsi="Times New Roman" w:eastAsia="MS Mincho"/>
          <w:b w:val="0"/>
          <w:i w:val="0"/>
          <w:sz w:val="20"/>
        </w:rPr>
        <w:t>Country clusters by joint-identified (μ̂, β̂) and asset composition; silhouette and bootstrap-stability metrics support the k=3 partition (Table 10b).</w:t>
      </w:r>
    </w:p>
    <w:p>
      <w:pPr>
        <w:spacing w:after="120" w:line="360" w:lineRule="auto"/>
        <w:ind w:firstLine="480"/>
      </w:pPr>
      <w:r>
        <w:rPr>
          <w:rFonts w:ascii="Times New Roman" w:hAnsi="Times New Roman" w:eastAsia="MS Mincho"/>
          <w:b w:val="0"/>
          <w:i w:val="0"/>
          <w:sz w:val="20"/>
        </w:rPr>
        <w:t>Clustering countries on the joint-identified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 R&amp;D intensity, and asset-composition shares yields three groups. The first group contains most Continental European and resource economies with low-to-moderate </w:t>
      </w:r>
      <m:oMath xmlns:mml="http://www.w3.org/1998/Math/MathML">
        <m:box>
          <m:e>
            <m:r>
              <m:rPr>
                <m:sty m:val="i"/>
              </m:rPr>
              <m:t>μ</m:t>
            </m:r>
          </m:e>
        </m:box>
      </m:oMath>
      <w:r>
        <w:rPr>
          <w:rFonts w:ascii="Times New Roman" w:hAnsi="Times New Roman" w:eastAsia="MS Mincho"/>
          <w:b w:val="0"/>
          <w:i w:val="0"/>
          <w:sz w:val="20"/>
        </w:rPr>
        <w:t xml:space="preserve"> and low </w:t>
      </w:r>
      <m:oMath xmlns:mml="http://www.w3.org/1998/Math/MathML">
        <m:box>
          <m:e>
            <m:r>
              <m:rPr>
                <m:sty m:val="i"/>
              </m:rPr>
              <m:t>β</m:t>
            </m:r>
            <m:r>
              <m:rPr>
                <m:sty m:val="p"/>
              </m:rPr>
              <m:t>.</m:t>
            </m:r>
          </m:e>
        </m:box>
      </m:oMath>
      <w:r>
        <w:rPr>
          <w:rFonts w:ascii="Times New Roman" w:hAnsi="Times New Roman" w:eastAsia="MS Mincho"/>
          <w:b w:val="0"/>
          <w:i w:val="0"/>
          <w:sz w:val="20"/>
        </w:rPr>
        <w:t xml:space="preserve"> The second group contains the high-R&amp;D, ICT-intensive economies, including the United States, Republic of Korea, Sweden, and Israel, with higher </w:t>
      </w:r>
      <m:oMath xmlns:mml="http://www.w3.org/1998/Math/MathML">
        <m:box>
          <m:e>
            <m:r>
              <m:rPr>
                <m:sty m:val="i"/>
              </m:rPr>
              <m:t>μ</m:t>
            </m:r>
          </m:e>
        </m:box>
      </m:oMath>
      <w:r>
        <w:rPr>
          <w:rFonts w:ascii="Times New Roman" w:hAnsi="Times New Roman" w:eastAsia="MS Mincho"/>
          <w:b w:val="0"/>
          <w:i w:val="0"/>
          <w:sz w:val="20"/>
        </w:rPr>
        <w:t xml:space="preserve"> and a larger share of intellectual-property investment. The third group is a small set of economies with very high estimated </w:t>
      </w:r>
      <m:oMath xmlns:mml="http://www.w3.org/1998/Math/MathML">
        <m:box>
          <m:e>
            <m:r>
              <m:rPr>
                <m:sty m:val="i"/>
              </m:rPr>
              <m:t>μ</m:t>
            </m:r>
          </m:e>
        </m:box>
      </m:oMath>
      <w:r>
        <w:rPr>
          <w:rFonts w:ascii="Times New Roman" w:hAnsi="Times New Roman" w:eastAsia="MS Mincho"/>
          <w:b w:val="0"/>
          <w:i w:val="0"/>
          <w:sz w:val="20"/>
        </w:rPr>
        <w:t xml:space="preserve"> and high </w:t>
      </w:r>
      <m:oMath xmlns:mml="http://www.w3.org/1998/Math/MathML">
        <m:box>
          <m:e>
            <m:r>
              <m:rPr>
                <m:sty m:val="i"/>
              </m:rPr>
              <m:t>β</m:t>
            </m:r>
            <m:r>
              <m:rPr>
                <m:sty m:val="p"/>
              </m:rPr>
              <m:t>.</m:t>
            </m:r>
          </m:e>
        </m:box>
      </m:oMath>
      <w:r>
        <w:rPr>
          <w:rFonts w:ascii="Times New Roman" w:hAnsi="Times New Roman" w:eastAsia="MS Mincho"/>
          <w:b w:val="0"/>
          <w:i w:val="0"/>
          <w:sz w:val="20"/>
        </w:rPr>
        <w:t xml:space="preserve"> These clusters are visible in Supplementary Figure 11 and quantified in Supplementary Table 9. We selected k = 3 after comparing candidate solutions k = 2, …, 6 on silhouette, inertia and bootstrap stability; the three-group partition was the most parsimonious solution that remained economically interpretable (high-ICT intangible-intensive, manufacturing-export oriented, and resource/land-intensive). Supplementary Tables 14 and 15 report the silhouette and bootstrap validation metrics and the per-country cluster assignments that support the k-means partition.</w:t>
      </w:r>
    </w:p>
    <w:p>
      <w:pPr>
        <w:spacing w:before="360" w:after="120" w:line="360" w:lineRule="auto"/>
        <w:ind w:firstLine="0"/>
        <w:jc w:val="left"/>
      </w:pPr>
      <w:r>
        <w:rPr>
          <w:rFonts w:ascii="Times New Roman" w:hAnsi="Times New Roman" w:eastAsia="MS Mincho"/>
          <w:b/>
          <w:i w:val="0"/>
          <w:sz w:val="24"/>
        </w:rPr>
        <w:t>S.19 Time-varying depreciation robustness</w:t>
      </w:r>
    </w:p>
    <w:p>
      <w:pPr>
        <w:spacing w:after="120" w:line="360" w:lineRule="auto"/>
        <w:ind w:firstLine="480"/>
      </w:pPr>
      <w:r>
        <w:rPr>
          <w:rFonts w:ascii="Times New Roman" w:hAnsi="Times New Roman" w:eastAsia="MS Mincho"/>
          <w:b w:val="0"/>
          <w:i w:val="0"/>
          <w:sz w:val="20"/>
        </w:rPr>
        <w:t>Supplementary Figure 12 displays the median estimated lag under each time-varying depreciation schedule, and Supplementary Table 10 reports the country-level median estimates.</w:t>
      </w:r>
    </w:p>
    <w:p>
      <w:pPr>
        <w:spacing w:before="360" w:after="120"/>
        <w:jc w:val="center"/>
      </w:pPr>
      <w:r>
        <w:drawing>
          <wp:inline xmlns:a="http://schemas.openxmlformats.org/drawingml/2006/main" xmlns:pic="http://schemas.openxmlformats.org/drawingml/2006/picture">
            <wp:extent cx="5669280" cy="2364854"/>
            <wp:docPr id="12" name="Picture 12"/>
            <wp:cNvGraphicFramePr>
              <a:graphicFrameLocks noChangeAspect="1"/>
            </wp:cNvGraphicFramePr>
            <a:graphic>
              <a:graphicData uri="http://schemas.openxmlformats.org/drawingml/2006/picture">
                <pic:pic>
                  <pic:nvPicPr>
                    <pic:cNvPr id="0" name="fig17_delta_timevarying_en.png"/>
                    <pic:cNvPicPr/>
                  </pic:nvPicPr>
                  <pic:blipFill>
                    <a:blip r:embed="rId20"/>
                    <a:stretch>
                      <a:fillRect/>
                    </a:stretch>
                  </pic:blipFill>
                  <pic:spPr>
                    <a:xfrm>
                      <a:off x="0" y="0"/>
                      <a:ext cx="5669280" cy="2364854"/>
                    </a:xfrm>
                    <a:prstGeom prst="rect"/>
                  </pic:spPr>
                </pic:pic>
              </a:graphicData>
            </a:graphic>
          </wp:inline>
        </w:drawing>
      </w:r>
    </w:p>
    <w:p>
      <w:pPr>
        <w:spacing w:after="240"/>
        <w:jc w:val="center"/>
      </w:pPr>
      <w:r>
        <w:rPr>
          <w:rFonts w:ascii="Times New Roman" w:hAnsi="Times New Roman" w:eastAsia="MS Mincho"/>
          <w:b/>
          <w:i w:val="0"/>
          <w:sz w:val="20"/>
        </w:rPr>
        <w:t xml:space="preserve">Supplementary Fig. 12. </w:t>
      </w:r>
      <w:r>
        <w:rPr>
          <w:rFonts w:ascii="Times New Roman" w:hAnsi="Times New Roman" w:eastAsia="MS Mincho"/>
          <w:b w:val="0"/>
          <w:i w:val="0"/>
          <w:sz w:val="20"/>
        </w:rPr>
        <w:t>Time-varying depreciation robustness: median estimated lag.</w:t>
      </w:r>
    </w:p>
    <w:p>
      <w:pPr>
        <w:spacing w:after="120" w:line="360" w:lineRule="auto"/>
        <w:ind w:firstLine="480"/>
      </w:pPr>
      <w:r>
        <w:rPr>
          <w:rFonts w:ascii="Times New Roman" w:hAnsi="Times New Roman" w:eastAsia="MS Mincho"/>
          <w:b w:val="0"/>
          <w:i w:val="0"/>
          <w:sz w:val="20"/>
        </w:rPr>
        <w:t xml:space="preserve">Supplementary Section S.13 showed that a uniform ±20 percent perturbation of </w:t>
      </w:r>
      <m:oMath xmlns:mml="http://www.w3.org/1998/Math/MathML">
        <m:box>
          <m:e>
            <m:r>
              <m:rPr>
                <m:sty m:val="i"/>
              </m:rPr>
              <m:t>δ</m:t>
            </m:r>
          </m:e>
        </m:box>
      </m:oMath>
      <w:r>
        <w:rPr>
          <w:rFonts w:ascii="Times New Roman" w:hAnsi="Times New Roman" w:eastAsia="MS Mincho"/>
          <w:b w:val="0"/>
          <w:i w:val="0"/>
          <w:sz w:val="20"/>
        </w:rPr>
        <w:t xml:space="preserve"> leaves the constant-lag estimate stable. We extend this to six explicit time-varying depreciation schedules that let the depreciation rate rise or fall with the share of short-lived ICT assets. The median estimated lag across countries is largely insensitive to these perturbations; the largest response appears when the depreciation rate is assumed to rise with the ICT share. The result supports the interpretation that the estimated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is not merely an alias for misspecified depreciation.</w:t>
      </w:r>
    </w:p>
    <w:p>
      <w:pPr>
        <w:spacing w:before="360" w:after="120" w:line="360" w:lineRule="auto"/>
        <w:ind w:firstLine="0"/>
        <w:jc w:val="left"/>
      </w:pPr>
      <w:r>
        <w:rPr>
          <w:rFonts w:ascii="Times New Roman" w:hAnsi="Times New Roman" w:eastAsia="MS Mincho"/>
          <w:b/>
          <w:i w:val="0"/>
          <w:sz w:val="24"/>
        </w:rPr>
        <w:t>S.20 Monte Carlo identification sharpness (Supplementary Figure 13 and Supplementary Table 11)</w:t>
      </w:r>
    </w:p>
    <w:p>
      <w:pPr>
        <w:spacing w:before="360" w:after="120"/>
        <w:jc w:val="center"/>
      </w:pPr>
      <w:r>
        <w:drawing>
          <wp:inline xmlns:a="http://schemas.openxmlformats.org/drawingml/2006/main" xmlns:pic="http://schemas.openxmlformats.org/drawingml/2006/picture">
            <wp:extent cx="5669280" cy="2573303"/>
            <wp:docPr id="13" name="Picture 13"/>
            <wp:cNvGraphicFramePr>
              <a:graphicFrameLocks noChangeAspect="1"/>
            </wp:cNvGraphicFramePr>
            <a:graphic>
              <a:graphicData uri="http://schemas.openxmlformats.org/drawingml/2006/picture">
                <pic:pic>
                  <pic:nvPicPr>
                    <pic:cNvPr id="0" name="fig18_monte_carlo_en.png"/>
                    <pic:cNvPicPr/>
                  </pic:nvPicPr>
                  <pic:blipFill>
                    <a:blip r:embed="rId21"/>
                    <a:stretch>
                      <a:fillRect/>
                    </a:stretch>
                  </pic:blipFill>
                  <pic:spPr>
                    <a:xfrm>
                      <a:off x="0" y="0"/>
                      <a:ext cx="5669280" cy="2573303"/>
                    </a:xfrm>
                    <a:prstGeom prst="rect"/>
                  </pic:spPr>
                </pic:pic>
              </a:graphicData>
            </a:graphic>
          </wp:inline>
        </w:drawing>
      </w:r>
    </w:p>
    <w:p>
      <w:pPr>
        <w:spacing w:after="240"/>
        <w:jc w:val="center"/>
      </w:pPr>
      <w:r>
        <w:rPr>
          <w:rFonts w:ascii="Times New Roman" w:hAnsi="Times New Roman" w:eastAsia="MS Mincho"/>
          <w:b/>
          <w:i w:val="0"/>
          <w:sz w:val="20"/>
        </w:rPr>
        <w:t xml:space="preserve">Supplementary Fig. 13. </w:t>
      </w:r>
      <w:r>
        <w:rPr>
          <w:rFonts w:ascii="Times New Roman" w:hAnsi="Times New Roman" w:eastAsia="MS Mincho"/>
          <w:b w:val="0"/>
          <w:i w:val="0"/>
          <w:sz w:val="20"/>
        </w:rPr>
        <w:t>Monte Carlo identification sharpness for four calibrated economies (United States, Republic of Korea, France, Colombia). Error bars show approximate 95 % confidence intervals for the mean RMSE across parameter cells.</w:t>
      </w:r>
    </w:p>
    <w:p>
      <w:pPr>
        <w:spacing w:after="120" w:line="360" w:lineRule="auto"/>
        <w:ind w:firstLine="480"/>
      </w:pPr>
      <w:r>
        <w:rPr>
          <w:rFonts w:ascii="Times New Roman" w:hAnsi="Times New Roman" w:eastAsia="MS Mincho"/>
          <w:b w:val="0"/>
          <w:i w:val="0"/>
          <w:sz w:val="20"/>
        </w:rPr>
        <w:t xml:space="preserve">To assess how well the joint loss identifies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from finite samples, we simulate economies calibrated to four distinct economies: the United States, the Republic of Korea, France and Colombia. These calibrations span high-R&amp;D/ICT-intensive, manufacturing-export and resource-intensive profiles, and therefore test whether identification sharpness is driven by a single parameter configuration. We vary the sample length (T = 30, 40, 50 years) and the variance of the output shock </w:t>
      </w:r>
      <m:oMath xmlns:mml="http://www.w3.org/1998/Math/MathML">
        <m:box>
          <m:e>
            <m:r>
              <m:rPr>
                <m:sty m:val="i"/>
              </m:rPr>
              <m:t>σ</m:t>
            </m:r>
            <m:r>
              <m:rPr>
                <m:sty m:val="p"/>
              </m:rPr>
              <m:t>.</m:t>
            </m:r>
          </m:e>
        </m:box>
      </m:oMath>
      <w:r>
        <w:rPr>
          <w:rFonts w:ascii="Times New Roman" w:hAnsi="Times New Roman" w:eastAsia="MS Mincho"/>
          <w:b w:val="0"/>
          <w:i w:val="0"/>
          <w:sz w:val="20"/>
        </w:rPr>
        <w:t xml:space="preserve"> The values T = 30, 40 and 50 cover the range observed for most countries in our sample: many OECD and middle-income series span 40–55 annual observations, so T = 50 is close to the effective upper bound for the cross-section while remaining short enough to test identification in emerging-market series. The RMSE of the joint-identified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declines with T and rises with </w:t>
      </w:r>
      <m:oMath xmlns:mml="http://www.w3.org/1998/Math/MathML">
        <m:box>
          <m:e>
            <m:r>
              <m:rPr>
                <m:sty m:val="i"/>
              </m:rPr>
              <m:t>σ</m:t>
            </m:r>
          </m:e>
        </m:box>
      </m:oMath>
      <w:r>
        <w:rPr>
          <w:rFonts w:ascii="Times New Roman" w:hAnsi="Times New Roman" w:eastAsia="MS Mincho"/>
          <w:b w:val="0"/>
          <w:i w:val="0"/>
          <w:sz w:val="20"/>
        </w:rPr>
        <w:t>, but even with moderate output noise the RMSE remains below the grid resolution for sample lengths typical of OECD national accounts. This confirms that the joint identification is statistically sharp in the empirically relevant region, and that the conclusion is not an artefact of the United States calibration.</w:t>
      </w:r>
    </w:p>
    <w:p>
      <w:pPr>
        <w:spacing w:before="360" w:after="120" w:line="360" w:lineRule="auto"/>
        <w:ind w:firstLine="0"/>
        <w:jc w:val="left"/>
      </w:pPr>
      <w:r>
        <w:rPr>
          <w:rFonts w:ascii="Times New Roman" w:hAnsi="Times New Roman" w:eastAsia="MS Mincho"/>
          <w:b/>
          <w:i w:val="0"/>
          <w:sz w:val="24"/>
        </w:rPr>
        <w:t>S.21 Cross-country γ_price summary (Supplementary Table 12)</w:t>
      </w:r>
    </w:p>
    <w:p>
      <w:pPr>
        <w:spacing w:after="120" w:line="360" w:lineRule="auto"/>
        <w:ind w:firstLine="480"/>
      </w:pPr>
      <w:r>
        <w:rPr>
          <w:rFonts w:ascii="Times New Roman" w:hAnsi="Times New Roman" w:eastAsia="MS Mincho"/>
          <w:b w:val="0"/>
          <w:i w:val="0"/>
          <w:sz w:val="20"/>
        </w:rPr>
        <w:t xml:space="preserve">Supplementary Table 12 extends the Japan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case study of S.9–S.10 to all 39 countries. For each country we fit a line to the PIM–CWON log-ratio as a function of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 [−0.04, +0.04] and report the zero-crossing price-revaluation rate, together with a flag indicating whether that root lies inside the explored interval. No country shows an in-range zero; the implied price-revaluation rates that would close the PIM–CWON gap are all outside the ±4 % per year window. This reinforces the interpretation that the residual gap is not a simple price-revaluation artefact at conventional magnitudes, except in the Japanese case where the historical land-price deflation makes a 2 % per year revaluation economically plausible.</w:t>
      </w:r>
    </w:p>
    <w:p>
      <w:pPr>
        <w:spacing w:before="360" w:after="120" w:line="360" w:lineRule="auto"/>
        <w:ind w:firstLine="0"/>
        <w:jc w:val="left"/>
      </w:pPr>
      <w:r>
        <w:rPr>
          <w:rFonts w:ascii="Times New Roman" w:hAnsi="Times New Roman" w:eastAsia="MS Mincho"/>
          <w:b/>
          <w:i w:val="0"/>
          <w:sz w:val="24"/>
        </w:rPr>
        <w:t>S.22 Historical-episode selection and leave-one-out robustness (Supplementary Table 13)</w:t>
      </w:r>
    </w:p>
    <w:p>
      <w:pPr>
        <w:spacing w:before="360" w:after="120"/>
      </w:pPr>
      <w:r>
        <w:rPr>
          <w:rFonts w:ascii="Times New Roman" w:hAnsi="Times New Roman" w:eastAsia="MS Mincho"/>
          <w:b/>
          <w:i w:val="0"/>
          <w:sz w:val="20"/>
        </w:rPr>
        <w:t>Supplementary Table 1.</w:t>
      </w:r>
      <w:r>
        <w:rPr>
          <w:rFonts w:ascii="Times New Roman" w:hAnsi="Times New Roman" w:eastAsia="MS Mincho"/>
          <w:b w:val="0"/>
          <w:i w:val="0"/>
          <w:sz w:val="20"/>
        </w:rPr>
        <w:t xml:space="preserve">  Leave-one-out robustness of selected historical episodes: episode removed, and mean TFP growth under M0, M2, and M4.</w:t>
      </w:r>
    </w:p>
    <w:tbl>
      <w:tblPr>
        <w:tblW w:type="auto" w:w="0"/>
        <w:tblStyle w:val="TableNormal"/>
        <w:tblBorders>
          <w:top w:val="single" w:sz="4" w:space="0" w:color="000000"/>
          <w:bottom w:val="single" w:sz="4" w:space="0" w:color="000000"/>
          <w:insideH w:val="single" w:sz="4" w:space="0" w:color="000000"/>
        </w:tblBorders>
      </w:tblPr>
      <w:tblGrid>
        <w:gridCol w:w="1881"/>
        <w:gridCol w:w="1881"/>
        <w:gridCol w:w="1881"/>
        <w:gridCol w:w="1881"/>
        <w:gridCol w:w="1881"/>
      </w:tblGrid>
      <w:tr>
        <w:trPr>
          <w:trHeight w:val="500" w:hRule="atLeast"/>
        </w:trPr>
        <w:tc>
          <w:tcPr>
            <w:tcW w:type="dxa" w:w="1881"/>
            <w:tcBorders>
              <w:top w:val="single" w:sz="4" w:space="0" w:color="000000"/>
              <w:bottom w:val="single" w:sz="4" w:space="0" w:color="000000"/>
            </w:tcBorders>
          </w:tcPr>
          <w:p>
            <w:r/>
            <w:r>
              <w:rPr>
                <w:rFonts w:ascii="Times New Roman" w:hAnsi="Times New Roman" w:eastAsia="MS Mincho"/>
                <w:b/>
                <w:i w:val="0"/>
                <w:sz w:val="20"/>
              </w:rPr>
              <w:t>excluded</w:t>
            </w:r>
          </w:p>
        </w:tc>
        <w:tc>
          <w:tcPr>
            <w:tcW w:type="dxa" w:w="1881"/>
            <w:tcBorders>
              <w:top w:val="single" w:sz="4" w:space="0" w:color="000000"/>
              <w:bottom w:val="single" w:sz="4" w:space="0" w:color="000000"/>
            </w:tcBorders>
          </w:tcPr>
          <w:p>
            <w:r/>
            <w:r>
              <w:rPr>
                <w:rFonts w:ascii="Times New Roman" w:hAnsi="Times New Roman" w:eastAsia="MS Mincho"/>
                <w:b/>
                <w:i w:val="0"/>
                <w:sz w:val="20"/>
              </w:rPr>
              <w:t>n_remaining</w:t>
            </w:r>
          </w:p>
        </w:tc>
        <w:tc>
          <w:tcPr>
            <w:tcW w:type="dxa" w:w="1881"/>
            <w:tcBorders>
              <w:top w:val="single" w:sz="4" w:space="0" w:color="000000"/>
              <w:bottom w:val="single" w:sz="4" w:space="0" w:color="000000"/>
            </w:tcBorders>
          </w:tcPr>
          <w:p>
            <w:r/>
            <w:r>
              <w:rPr>
                <w:rFonts w:ascii="Times New Roman" w:hAnsi="Times New Roman" w:eastAsia="MS Mincho"/>
                <w:b/>
                <w:i w:val="0"/>
                <w:sz w:val="20"/>
              </w:rPr>
              <w:t>mean_joint_artifact_pp</w:t>
            </w:r>
          </w:p>
        </w:tc>
        <w:tc>
          <w:tcPr>
            <w:tcW w:type="dxa" w:w="1881"/>
            <w:tcBorders>
              <w:top w:val="single" w:sz="4" w:space="0" w:color="000000"/>
              <w:bottom w:val="single" w:sz="4" w:space="0" w:color="000000"/>
            </w:tcBorders>
          </w:tcPr>
          <w:p>
            <w:r/>
            <w:r>
              <w:rPr>
                <w:rFonts w:ascii="Times New Roman" w:hAnsi="Times New Roman" w:eastAsia="MS Mincho"/>
                <w:b/>
                <w:i w:val="0"/>
                <w:sz w:val="20"/>
              </w:rPr>
              <w:t>full_mean_joint_artifact_pp</w:t>
            </w:r>
          </w:p>
        </w:tc>
        <w:tc>
          <w:tcPr>
            <w:tcW w:type="dxa" w:w="1881"/>
            <w:tcBorders>
              <w:top w:val="single" w:sz="4" w:space="0" w:color="000000"/>
              <w:bottom w:val="single" w:sz="4" w:space="0" w:color="000000"/>
            </w:tcBorders>
          </w:tcPr>
          <w:p>
            <w:r/>
            <w:r>
              <w:rPr>
                <w:rFonts w:ascii="Times New Roman" w:hAnsi="Times New Roman" w:eastAsia="MS Mincho"/>
                <w:b/>
                <w:i w:val="0"/>
                <w:sz w:val="20"/>
              </w:rPr>
              <w:t>delta_pp</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Republic of Korea, Asian crisis</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-0.25</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United States, global financial crisis</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0.31</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0.01</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United States, dot-com boom</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0.37</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0.07</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Germany, global financial crisis</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0.34</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0.04</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Japan's 'lost decade'</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0.06</w:t>
            </w:r>
          </w:p>
        </w:tc>
      </w:tr>
      <w:tr>
        <w:tc>
          <w:tcPr>
            <w:tcW w:type="dxa" w:w="1881"/>
            <w:tcBorders>
              <w:top w:val="single" w:sz="4" w:space="0" w:color="000000"/>
              <w:bottom w:val="single" w:sz="4" w:space="0" w:color="000000"/>
            </w:tcBorders>
          </w:tcPr>
          <w:p>
            <w:r/>
            <w:r>
              <w:rPr>
                <w:rFonts w:ascii="Times New Roman" w:hAnsi="Times New Roman" w:eastAsia="MS Mincho"/>
                <w:b w:val="0"/>
                <w:i w:val="0"/>
                <w:sz w:val="20"/>
              </w:rPr>
              <w:t>Japan, global financial crisis</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0.35</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0.29</w:t>
            </w:r>
          </w:p>
        </w:tc>
        <w:tc>
          <w:tcPr>
            <w:tcW w:type="dxa" w:w="1881"/>
            <w:tcBorders>
              <w:top w:val="single" w:sz="4" w:space="0" w:color="000000"/>
              <w:bottom w:val="single" w:sz="4" w:space="0" w:color="000000"/>
            </w:tcBorders>
          </w:tcPr>
          <w:p>
            <w:r/>
            <w:r>
              <w:rPr>
                <w:rFonts w:ascii="Times New Roman" w:hAnsi="Times New Roman" w:eastAsia="MS Mincho"/>
                <w:b w:val="0"/>
                <w:i w:val="0"/>
                <w:sz w:val="20"/>
              </w:rPr>
              <w:t>0.06</w:t>
            </w:r>
          </w:p>
        </w:tc>
      </w:tr>
    </w:tbl>
    <w:p>
      <w:pPr>
        <w:spacing w:after="120" w:line="360" w:lineRule="auto"/>
        <w:ind w:firstLine="480"/>
      </w:pPr>
      <w:r>
        <w:rPr>
          <w:rFonts w:ascii="Times New Roman" w:hAnsi="Times New Roman" w:eastAsia="MS Mincho"/>
          <w:b w:val="0"/>
          <w:i w:val="0"/>
          <w:sz w:val="20"/>
        </w:rPr>
        <w:t>Supplementary Table 13 reports a leave-one-episode-out robustness check for the historical episodes of Supplementary Table 3. Each row drops one episode and recomputes the mean joint artifact (M4 − M0) across the remaining episodes. The deviations are small relative to the full-sample mean, confirming that the narrative conclusion — a material tempo-plus-intangible artifact during high-investment-gestation episodes — is not driven by a single episode or country.</w:t>
      </w:r>
    </w:p>
    <w:p>
      <w:pPr>
        <w:spacing w:before="360" w:after="120" w:line="360" w:lineRule="auto"/>
        <w:ind w:firstLine="0"/>
        <w:jc w:val="left"/>
      </w:pPr>
      <w:r>
        <w:rPr>
          <w:rFonts w:ascii="Times New Roman" w:hAnsi="Times New Roman" w:eastAsia="MS Mincho"/>
          <w:b/>
          <w:i w:val="0"/>
          <w:sz w:val="24"/>
        </w:rPr>
        <w:t>S.23 Cluster validation metrics (Supplementary Table 14)</w:t>
      </w:r>
    </w:p>
    <w:p>
      <w:pPr>
        <w:spacing w:before="360" w:after="120"/>
      </w:pPr>
      <w:r>
        <w:rPr>
          <w:rFonts w:ascii="Times New Roman" w:hAnsi="Times New Roman" w:eastAsia="MS Mincho"/>
          <w:b/>
          <w:i w:val="0"/>
          <w:sz w:val="20"/>
        </w:rPr>
        <w:t>Supplementary Table 2.</w:t>
      </w:r>
      <w:r>
        <w:rPr>
          <w:rFonts w:ascii="Times New Roman" w:hAnsi="Times New Roman" w:eastAsia="MS Mincho"/>
          <w:b w:val="0"/>
          <w:i w:val="0"/>
          <w:sz w:val="20"/>
        </w:rPr>
        <w:t xml:space="preserve">  Cluster validation metrics: silhouette score and bootstrap stability across candidate k (2–6).</w:t>
      </w:r>
    </w:p>
    <w:tbl>
      <w:tblPr>
        <w:tblW w:type="auto" w:w="0"/>
        <w:tblStyle w:val="TableNormal"/>
        <w:tblBorders>
          <w:top w:val="single" w:sz="4" w:space="0" w:color="000000"/>
          <w:bottom w:val="single" w:sz="4" w:space="0" w:color="000000"/>
          <w:insideH w:val="single" w:sz="4" w:space="0" w:color="000000"/>
        </w:tblBorders>
      </w:tblPr>
      <w:tblGrid>
        <w:gridCol w:w="3135"/>
        <w:gridCol w:w="3135"/>
        <w:gridCol w:w="3135"/>
      </w:tblGrid>
      <w:tr>
        <w:trPr>
          <w:trHeight w:val="500" w:hRule="atLeast"/>
        </w:trPr>
        <w:tc>
          <w:tcPr>
            <w:tcW w:type="dxa" w:w="3135"/>
            <w:tcBorders>
              <w:top w:val="single" w:sz="4" w:space="0" w:color="000000"/>
              <w:bottom w:val="single" w:sz="4" w:space="0" w:color="000000"/>
            </w:tcBorders>
          </w:tcPr>
          <w:p>
            <w:r/>
            <w:r>
              <w:rPr>
                <w:rFonts w:ascii="Times New Roman" w:hAnsi="Times New Roman" w:eastAsia="MS Mincho"/>
                <w:b/>
                <w:i w:val="0"/>
                <w:sz w:val="20"/>
              </w:rPr>
              <w:t>k</w:t>
            </w:r>
          </w:p>
        </w:tc>
        <w:tc>
          <w:tcPr>
            <w:tcW w:type="dxa" w:w="3135"/>
            <w:tcBorders>
              <w:top w:val="single" w:sz="4" w:space="0" w:color="000000"/>
              <w:bottom w:val="single" w:sz="4" w:space="0" w:color="000000"/>
            </w:tcBorders>
          </w:tcPr>
          <w:p>
            <w:r/>
            <w:r>
              <w:rPr>
                <w:rFonts w:ascii="Times New Roman" w:hAnsi="Times New Roman" w:eastAsia="MS Mincho"/>
                <w:b/>
                <w:i w:val="0"/>
                <w:sz w:val="20"/>
              </w:rPr>
              <w:t>silhouette_overall</w:t>
            </w:r>
          </w:p>
        </w:tc>
        <w:tc>
          <w:tcPr>
            <w:tcW w:type="dxa" w:w="3135"/>
            <w:tcBorders>
              <w:top w:val="single" w:sz="4" w:space="0" w:color="000000"/>
              <w:bottom w:val="single" w:sz="4" w:space="0" w:color="000000"/>
            </w:tcBorders>
          </w:tcPr>
          <w:p>
            <w:r/>
            <w:r>
              <w:rPr>
                <w:rFonts w:ascii="Times New Roman" w:hAnsi="Times New Roman" w:eastAsia="MS Mincho"/>
                <w:b/>
                <w:i w:val="0"/>
                <w:sz w:val="20"/>
              </w:rPr>
              <w:t>bootstrap_adjusted_rand</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3</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0.34</w:t>
            </w:r>
          </w:p>
        </w:tc>
      </w:tr>
    </w:tbl>
    <w:p>
      <w:pPr>
        <w:spacing w:after="120" w:line="360" w:lineRule="auto"/>
        <w:ind w:firstLine="480"/>
      </w:pPr>
      <w:r>
        <w:rPr>
          <w:rFonts w:ascii="Times New Roman" w:hAnsi="Times New Roman" w:eastAsia="MS Mincho"/>
          <w:b w:val="0"/>
          <w:i w:val="0"/>
          <w:sz w:val="20"/>
        </w:rPr>
        <w:t>Supplementary Table 14 reports the overall silhouette score and a bootstrap stability index for the k = 3 k-means partition shown in Supplementary Table 9. The stability index is the mean adjusted Rand index between the initial k = 3 labels and those obtained from 100 bootstrap replications of the same data, each refit with k = 3. It is well above the near-zero value expected for random relabeling, indicating that the three-group partition is reasonably reproducible on resampling.</w:t>
      </w:r>
    </w:p>
    <w:p>
      <w:pPr>
        <w:spacing w:before="360" w:after="120" w:line="360" w:lineRule="auto"/>
        <w:ind w:firstLine="0"/>
        <w:jc w:val="left"/>
      </w:pPr>
      <w:r>
        <w:rPr>
          <w:rFonts w:ascii="Times New Roman" w:hAnsi="Times New Roman" w:eastAsia="MS Mincho"/>
          <w:b/>
          <w:i w:val="0"/>
          <w:sz w:val="24"/>
        </w:rPr>
        <w:t>S.24 Cluster diagnostics (Supplementary Table 15)</w:t>
      </w:r>
    </w:p>
    <w:p>
      <w:pPr>
        <w:spacing w:before="360" w:after="120"/>
      </w:pPr>
      <w:r>
        <w:rPr>
          <w:rFonts w:ascii="Times New Roman" w:hAnsi="Times New Roman" w:eastAsia="MS Mincho"/>
          <w:b/>
          <w:i w:val="0"/>
          <w:sz w:val="20"/>
        </w:rPr>
        <w:t>Supplementary Table 3.</w:t>
      </w:r>
      <w:r>
        <w:rPr>
          <w:rFonts w:ascii="Times New Roman" w:hAnsi="Times New Roman" w:eastAsia="MS Mincho"/>
          <w:b w:val="0"/>
          <w:i w:val="0"/>
          <w:sz w:val="20"/>
        </w:rPr>
        <w:t xml:space="preserve">  Cluster diagnostics: per-country cluster assignment and silhouette contribution.</w:t>
      </w:r>
    </w:p>
    <w:tbl>
      <w:tblPr>
        <w:tblW w:type="auto" w:w="0"/>
        <w:tblStyle w:val="TableNormal"/>
        <w:tblBorders>
          <w:top w:val="single" w:sz="4" w:space="0" w:color="000000"/>
          <w:bottom w:val="single" w:sz="4" w:space="0" w:color="000000"/>
          <w:insideH w:val="single" w:sz="4" w:space="0" w:color="000000"/>
        </w:tblBorders>
      </w:tblPr>
      <w:tblGrid>
        <w:gridCol w:w="3135"/>
        <w:gridCol w:w="3135"/>
        <w:gridCol w:w="3135"/>
      </w:tblGrid>
      <w:tr>
        <w:trPr>
          <w:trHeight w:val="500" w:hRule="atLeast"/>
        </w:trPr>
        <w:tc>
          <w:tcPr>
            <w:tcW w:type="dxa" w:w="3135"/>
            <w:tcBorders>
              <w:top w:val="single" w:sz="4" w:space="0" w:color="000000"/>
              <w:bottom w:val="single" w:sz="4" w:space="0" w:color="000000"/>
            </w:tcBorders>
          </w:tcPr>
          <w:p>
            <w:r/>
            <w:r>
              <w:rPr>
                <w:rFonts w:ascii="Times New Roman" w:hAnsi="Times New Roman" w:eastAsia="MS Mincho"/>
                <w:b/>
                <w:i w:val="0"/>
                <w:sz w:val="20"/>
              </w:rPr>
              <w:t>k</w:t>
            </w:r>
          </w:p>
        </w:tc>
        <w:tc>
          <w:tcPr>
            <w:tcW w:type="dxa" w:w="3135"/>
            <w:tcBorders>
              <w:top w:val="single" w:sz="4" w:space="0" w:color="000000"/>
              <w:bottom w:val="single" w:sz="4" w:space="0" w:color="000000"/>
            </w:tcBorders>
          </w:tcPr>
          <w:p>
            <w:r/>
            <w:r>
              <w:rPr>
                <w:rFonts w:ascii="Times New Roman" w:hAnsi="Times New Roman" w:eastAsia="MS Mincho"/>
                <w:b/>
                <w:i w:val="0"/>
                <w:sz w:val="20"/>
              </w:rPr>
              <w:t>silhouette</w:t>
            </w:r>
          </w:p>
        </w:tc>
        <w:tc>
          <w:tcPr>
            <w:tcW w:type="dxa" w:w="3135"/>
            <w:tcBorders>
              <w:top w:val="single" w:sz="4" w:space="0" w:color="000000"/>
              <w:bottom w:val="single" w:sz="4" w:space="0" w:color="000000"/>
            </w:tcBorders>
          </w:tcPr>
          <w:p>
            <w:r/>
            <w:r>
              <w:rPr>
                <w:rFonts w:ascii="Times New Roman" w:hAnsi="Times New Roman" w:eastAsia="MS Mincho"/>
                <w:b/>
                <w:i w:val="0"/>
                <w:sz w:val="20"/>
              </w:rPr>
              <w:t>inertia</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2</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0.236</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155.165</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3</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0.195</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137.572</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4</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0.222</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113.304</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5</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0.22</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102.191</w:t>
            </w:r>
          </w:p>
        </w:tc>
      </w:tr>
      <w:tr>
        <w:tc>
          <w:tcPr>
            <w:tcW w:type="dxa" w:w="3135"/>
            <w:tcBorders>
              <w:top w:val="single" w:sz="4" w:space="0" w:color="000000"/>
              <w:bottom w:val="single" w:sz="4" w:space="0" w:color="000000"/>
            </w:tcBorders>
          </w:tcPr>
          <w:p>
            <w:r/>
            <w:r>
              <w:rPr>
                <w:rFonts w:ascii="Times New Roman" w:hAnsi="Times New Roman" w:eastAsia="MS Mincho"/>
                <w:b w:val="0"/>
                <w:i w:val="0"/>
                <w:sz w:val="20"/>
              </w:rPr>
              <w:t>6</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0.249</w:t>
            </w:r>
          </w:p>
        </w:tc>
        <w:tc>
          <w:tcPr>
            <w:tcW w:type="dxa" w:w="3135"/>
            <w:tcBorders>
              <w:top w:val="single" w:sz="4" w:space="0" w:color="000000"/>
              <w:bottom w:val="single" w:sz="4" w:space="0" w:color="000000"/>
            </w:tcBorders>
          </w:tcPr>
          <w:p>
            <w:r/>
            <w:r>
              <w:rPr>
                <w:rFonts w:ascii="Times New Roman" w:hAnsi="Times New Roman" w:eastAsia="MS Mincho"/>
                <w:b w:val="0"/>
                <w:i w:val="0"/>
                <w:sz w:val="20"/>
              </w:rPr>
              <w:t>80.324</w:t>
            </w:r>
          </w:p>
        </w:tc>
      </w:tr>
    </w:tbl>
    <w:p>
      <w:pPr>
        <w:spacing w:after="120" w:line="360" w:lineRule="auto"/>
        <w:ind w:firstLine="480"/>
      </w:pPr>
      <w:r>
        <w:rPr>
          <w:rFonts w:ascii="Times New Roman" w:hAnsi="Times New Roman" w:eastAsia="MS Mincho"/>
          <w:b w:val="0"/>
          <w:i w:val="0"/>
          <w:sz w:val="20"/>
        </w:rPr>
        <w:t>Supplementary Table 15 reports silhouette scores and k-means inertia for candidate numbers of clusters k = 2, …, 6. The k = 3 solution was selected for the main cluster summary because it is the most parsimonious partition with a silhouette score near the maximum and produces policy-interpretable groups (high-ICT intangible-intensive, manufacturing-export oriented, and resource/land-intensive). Higher k values raise the silhouette score mechanically by forming smaller, more homogeneous groups, but the bootstrap stability of those finer partitions is low and their economic interpretation is less clear. Supplementary Table 15 therefore shows that the choice of k = 3 is not driven by a single local peak in the objective function; it reflects a stability–interpretability trade-off.</w:t>
      </w:r>
    </w:p>
    <w:p>
      <w:pPr>
        <w:spacing w:before="360" w:after="120" w:line="360" w:lineRule="auto"/>
        <w:ind w:firstLine="0"/>
        <w:jc w:val="left"/>
      </w:pPr>
      <w:r>
        <w:rPr>
          <w:rFonts w:ascii="Times New Roman" w:hAnsi="Times New Roman" w:eastAsia="MS Mincho"/>
          <w:b/>
          <w:i w:val="0"/>
          <w:sz w:val="24"/>
        </w:rPr>
        <w:t>S.25 CWON temporal holdout validation (Supplementary Figure 14)</w:t>
      </w:r>
    </w:p>
    <w:p>
      <w:pPr>
        <w:spacing w:before="360" w:after="120"/>
        <w:jc w:val="center"/>
      </w:pPr>
      <w:r>
        <w:drawing>
          <wp:inline xmlns:a="http://schemas.openxmlformats.org/drawingml/2006/main" xmlns:pic="http://schemas.openxmlformats.org/drawingml/2006/picture">
            <wp:extent cx="5669280" cy="5669280"/>
            <wp:docPr id="14" name="Picture 14"/>
            <wp:cNvGraphicFramePr>
              <a:graphicFrameLocks noChangeAspect="1"/>
            </wp:cNvGraphicFramePr>
            <a:graphic>
              <a:graphicData uri="http://schemas.openxmlformats.org/drawingml/2006/picture">
                <pic:pic>
                  <pic:nvPicPr>
                    <pic:cNvPr id="0" name="fig_cwon_holdout.png"/>
                    <pic:cNvPicPr/>
                  </pic:nvPicPr>
                  <pic:blipFill>
                    <a:blip r:embed="rId22"/>
                    <a:stretch>
                      <a:fillRect/>
                    </a:stretch>
                  </pic:blipFill>
                  <pic:spPr>
                    <a:xfrm>
                      <a:off x="0" y="0"/>
                      <a:ext cx="5669280" cy="5669280"/>
                    </a:xfrm>
                    <a:prstGeom prst="rect"/>
                  </pic:spPr>
                </pic:pic>
              </a:graphicData>
            </a:graphic>
          </wp:inline>
        </w:drawing>
      </w:r>
    </w:p>
    <w:p>
      <w:pPr>
        <w:spacing w:after="240"/>
        <w:jc w:val="center"/>
      </w:pPr>
      <w:r>
        <w:rPr>
          <w:rFonts w:ascii="Times New Roman" w:hAnsi="Times New Roman" w:eastAsia="MS Mincho"/>
          <w:b/>
          <w:i w:val="0"/>
          <w:sz w:val="20"/>
        </w:rPr>
        <w:t xml:space="preserve">Supplementary Fig. 14. </w:t>
      </w:r>
      <w:r>
        <w:rPr>
          <w:rFonts w:ascii="Times New Roman" w:hAnsi="Times New Roman" w:eastAsia="MS Mincho"/>
          <w:b w:val="0"/>
          <w:i w:val="0"/>
          <w:sz w:val="20"/>
        </w:rPr>
        <w:t>CWON temporal holdout: in-sample (1995–2014) versus held-out (2015–2019) wealth residuals under M0, production-only, and joint identification.</w:t>
      </w:r>
    </w:p>
    <w:p>
      <w:pPr>
        <w:spacing w:after="120" w:line="360" w:lineRule="auto"/>
        <w:ind w:firstLine="480"/>
      </w:pPr>
      <w:r>
        <w:rPr>
          <w:rFonts w:ascii="Times New Roman" w:hAnsi="Times New Roman" w:eastAsia="MS Mincho"/>
          <w:b w:val="0"/>
          <w:i w:val="0"/>
          <w:sz w:val="20"/>
        </w:rPr>
        <w:t>To check that the agreement between the joint estimates and CWON is not purely a fitted artefact, we repeat the comparison under a strict temporal holdout. The joint parameters (</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are estimated using production data through 2014 and only the 1995–2014 portion of the CWON wealth series; the level normalisation that aligns the model-implied log ratio with the reported CWON series is likewise fitted on 1995–2014 only. The resulting implied capital ratio is then compared against the 2015–2019 CWON observations, which enter neither the estimation nor the normalisation. Supplementary Figure 14 plots in-sample versus holdout wealth residuals for the three candidate constructions. The median holdout residual is 4.1 % under joint identification, versus 5.0 % for production-only estimates and 5.1 % for the M0 instant-PIM baseline; the joint model attains the smallest holdout residual in 23/39 of 39 countries. The holdout residuals are larger than the near-exact in-sample agreement seen for R&amp;D-intensive economies in Figure 2, so the in-sample correspondence should be read as descriptive rather than as an accuracy guarantee.</w:t>
      </w:r>
    </w:p>
    <w:sectPr w:rsidR="00FC693F" w:rsidRPr="0006063C" w:rsidSect="00034616">
      <w:footerReference w:type="default" r:id="rId23"/>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fldSimple w:instr="PAGE \* MERGEFORMAT">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