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1. M0–M4: in-sample and out-of-sample performance across 39 countries. Medians across countries; IQR in brackets.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500" w:hRule="atLeast"/>
        </w:trP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Model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Description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median (pp)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Growth RMSE IQR (pp)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Level MAPE median (%)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OOS MAPE median (%)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(Solow baseline)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[2.03, 3.85]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Constant lag </w:t>
            </w:r>
            <m:oMath xmlns:mml="http://www.w3.org/1998/Math/MathML">
              <m:box>
                <m:e>
                  <m:acc>
                    <m:accPr>
                      <m:chr m:val="^"/>
                    </m:accPr>
                    <m:e>
                      <m:r>
                        <m:rPr>
                          <m:sty m:val="i"/>
                        </m:rPr>
                        <m:t>μ</m:t>
                      </m:r>
                    </m:e>
                  </m:acc>
                </m:e>
              </m:box>
            </m:oMath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3.087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3.74]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4.105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4.058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 xml:space="preserve">Time-varying lag </w:t>
            </w:r>
            <m:oMath xmlns:mml="http://www.w3.org/1998/Math/MathML">
              <m:box>
                <m:e>
                  <m:r>
                    <m:rPr>
                      <m:sty m:val="i"/>
                    </m:rP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rPr>
                          <m:sty m:val="i"/>
                        </m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ty m:val="i"/>
                        </m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t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i"/>
                        </m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box>
            </m:oMath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3.065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3.73]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4.189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3.986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Instant PIM plus intangible capital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3.095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[2.01, 3.82]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4.722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Joint tempo + intangible (GDP and CWON)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3.078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[2.08, 3.82]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4.062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4.606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