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pPr>
    </w:p>
    <w:p>
      <w:pPr>
        <w:spacing w:before="360" w:after="120" w:line="360" w:lineRule="auto"/>
        <w:ind w:firstLine="0"/>
        <w:jc w:val="center"/>
      </w:pPr>
      <w:r>
        <w:rPr>
          <w:rFonts w:ascii="Times New Roman" w:hAnsi="Times New Roman" w:eastAsia="MS Mincho"/>
          <w:b/>
          <w:i w:val="0"/>
          <w:sz w:val="32"/>
        </w:rPr>
        <w:t>Investment Gestation Lags, Intangible Capital, and the Measurement of Capital and Productivity in 39 Economies</w:t>
      </w:r>
    </w:p>
    <w:p>
      <w:pPr>
        <w:spacing w:after="0" w:before="0" w:line="360" w:lineRule="auto"/>
      </w:pPr>
    </w:p>
    <w:p>
      <w:pPr>
        <w:spacing w:after="120" w:line="360" w:lineRule="auto"/>
        <w:ind w:firstLine="480"/>
      </w:pPr>
      <w:r>
        <w:rPr>
          <w:rFonts w:ascii="Times New Roman" w:hAnsi="Times New Roman" w:eastAsia="MS Mincho"/>
          <w:b/>
          <w:i w:val="0"/>
          <w:sz w:val="20"/>
        </w:rPr>
        <w:t>Onishi Tatsuki</w:t>
      </w:r>
    </w:p>
    <w:p>
      <w:pPr>
        <w:spacing w:after="0" w:before="0" w:line="360" w:lineRule="auto"/>
      </w:pPr>
    </w:p>
    <w:p>
      <w:pPr>
        <w:spacing w:after="120" w:line="360" w:lineRule="auto"/>
        <w:ind w:firstLine="480"/>
      </w:pPr>
      <w:r>
        <w:rPr>
          <w:rFonts w:ascii="Times New Roman" w:hAnsi="Times New Roman" w:eastAsia="MS Mincho"/>
          <w:b w:val="0"/>
          <w:i w:val="0"/>
          <w:sz w:val="20"/>
        </w:rPr>
        <w:t>Data Science and AI Innovation Research Promotion Center, Shiga University</w:t>
      </w:r>
    </w:p>
    <w:p>
      <w:pPr>
        <w:spacing w:after="0" w:before="0" w:line="360" w:lineRule="auto"/>
      </w:pPr>
    </w:p>
    <w:p>
      <w:pPr>
        <w:spacing w:after="120" w:line="360" w:lineRule="auto"/>
        <w:ind w:firstLine="480"/>
      </w:pPr>
      <w:r>
        <w:rPr>
          <w:rFonts w:ascii="Times New Roman" w:hAnsi="Times New Roman" w:eastAsia="MS Mincho"/>
          <w:b w:val="0"/>
          <w:i w:val="0"/>
          <w:sz w:val="20"/>
        </w:rPr>
        <w:t>1-1-1, Bamba, Hikone, Shiga, 522-8522 Japan, Telephone: +81-749-27-1023, E-mail: bougtoir@gmail.com, ORCID: 0000-0001-7261-9062</w:t>
      </w:r>
    </w:p>
    <w:p>
      <w:pPr>
        <w:spacing w:after="0" w:before="0" w:line="360" w:lineRule="auto"/>
      </w:pPr>
    </w:p>
    <w:p>
      <w:pPr>
        <w:spacing w:after="120" w:line="360" w:lineRule="auto"/>
        <w:ind w:firstLine="480"/>
      </w:pPr>
      <w:r>
        <w:rPr>
          <w:rFonts w:ascii="Times New Roman" w:hAnsi="Times New Roman" w:eastAsia="MS Mincho"/>
          <w:b/>
          <w:i w:val="0"/>
          <w:sz w:val="20"/>
        </w:rPr>
        <w:t>Declarations</w:t>
      </w:r>
    </w:p>
    <w:p>
      <w:pPr>
        <w:spacing w:after="0" w:before="0" w:line="360" w:lineRule="auto"/>
      </w:pPr>
    </w:p>
    <w:p>
      <w:pPr>
        <w:spacing w:after="120" w:line="360" w:lineRule="auto"/>
        <w:ind w:firstLine="480"/>
      </w:pPr>
      <w:r>
        <w:rPr>
          <w:rFonts w:ascii="Times New Roman" w:hAnsi="Times New Roman" w:eastAsia="MS Mincho"/>
          <w:b w:val="0"/>
          <w:i/>
          <w:sz w:val="20"/>
        </w:rPr>
        <w:t>Competing interests.</w:t>
      </w:r>
      <w:r>
        <w:rPr>
          <w:rFonts w:ascii="Times New Roman" w:hAnsi="Times New Roman" w:eastAsia="MS Mincho"/>
          <w:b w:val="0"/>
          <w:i w:val="0"/>
          <w:sz w:val="20"/>
        </w:rPr>
        <w:t xml:space="preserve"> The author declares no competing interests.</w:t>
      </w:r>
    </w:p>
    <w:p>
      <w:pPr>
        <w:spacing w:after="0" w:before="0" w:line="360" w:lineRule="auto"/>
      </w:pPr>
    </w:p>
    <w:p>
      <w:pPr>
        <w:spacing w:after="120" w:line="360" w:lineRule="auto"/>
        <w:ind w:firstLine="480"/>
      </w:pPr>
      <w:r>
        <w:rPr>
          <w:rFonts w:ascii="Times New Roman" w:hAnsi="Times New Roman" w:eastAsia="MS Mincho"/>
          <w:b w:val="0"/>
          <w:i/>
          <w:sz w:val="20"/>
        </w:rPr>
        <w:t>Consent to participate.</w:t>
      </w:r>
      <w:r>
        <w:rPr>
          <w:rFonts w:ascii="Times New Roman" w:hAnsi="Times New Roman" w:eastAsia="MS Mincho"/>
          <w:b w:val="0"/>
          <w:i w:val="0"/>
          <w:sz w:val="20"/>
        </w:rPr>
        <w:t xml:space="preserve"> Not applicable.</w:t>
      </w:r>
    </w:p>
    <w:p>
      <w:pPr>
        <w:spacing w:after="0" w:before="0" w:line="360" w:lineRule="auto"/>
      </w:pPr>
    </w:p>
    <w:p>
      <w:pPr>
        <w:spacing w:after="120" w:line="360" w:lineRule="auto"/>
        <w:ind w:firstLine="480"/>
      </w:pPr>
      <w:r>
        <w:rPr>
          <w:rFonts w:ascii="Times New Roman" w:hAnsi="Times New Roman" w:eastAsia="MS Mincho"/>
          <w:b w:val="0"/>
          <w:i/>
          <w:sz w:val="20"/>
        </w:rPr>
        <w:t>Consent to publish.</w:t>
      </w:r>
      <w:r>
        <w:rPr>
          <w:rFonts w:ascii="Times New Roman" w:hAnsi="Times New Roman" w:eastAsia="MS Mincho"/>
          <w:b w:val="0"/>
          <w:i w:val="0"/>
          <w:sz w:val="20"/>
        </w:rPr>
        <w:t xml:space="preserve"> Not applicable.</w:t>
      </w:r>
    </w:p>
    <w:p>
      <w:pPr>
        <w:spacing w:after="0" w:before="0" w:line="360" w:lineRule="auto"/>
      </w:pPr>
    </w:p>
    <w:p>
      <w:pPr>
        <w:spacing w:after="120" w:line="360" w:lineRule="auto"/>
        <w:ind w:firstLine="480"/>
      </w:pPr>
      <w:r>
        <w:rPr>
          <w:rFonts w:ascii="Times New Roman" w:hAnsi="Times New Roman" w:eastAsia="MS Mincho"/>
          <w:b w:val="0"/>
          <w:i/>
          <w:sz w:val="20"/>
        </w:rPr>
        <w:t>Data and code availability.</w:t>
      </w:r>
      <w:r>
        <w:rPr>
          <w:rFonts w:ascii="Times New Roman" w:hAnsi="Times New Roman" w:eastAsia="MS Mincho"/>
          <w:b w:val="0"/>
          <w:i w:val="0"/>
          <w:sz w:val="20"/>
        </w:rPr>
        <w:t xml:space="preserve"> Penn World Table 10.01, World Bank CWON, World Bank WDI, and OECD GFCF data used in this study are publicly available from their respective providers. Frozen source extracts, checksums, analysis scripts, intermediate results, and manuscript sources are archived at https://github.com/bougtoir/gdp-tempo-paper.</w:t>
      </w:r>
    </w:p>
    <w:p>
      <w:pPr>
        <w:spacing w:after="0" w:before="0" w:line="360" w:lineRule="auto"/>
      </w:pPr>
    </w:p>
    <w:p>
      <w:pPr>
        <w:spacing w:after="120" w:line="360" w:lineRule="auto"/>
        <w:ind w:firstLine="480"/>
      </w:pPr>
      <w:r>
        <w:rPr>
          <w:rFonts w:ascii="Times New Roman" w:hAnsi="Times New Roman" w:eastAsia="MS Mincho"/>
          <w:b w:val="0"/>
          <w:i/>
          <w:sz w:val="20"/>
        </w:rPr>
        <w:t>Declaration of generative AI use.</w:t>
      </w:r>
      <w:r>
        <w:rPr>
          <w:rFonts w:ascii="Times New Roman" w:hAnsi="Times New Roman" w:eastAsia="MS Mincho"/>
          <w:b w:val="0"/>
          <w:i w:val="0"/>
          <w:sz w:val="20"/>
        </w:rPr>
        <w:t xml:space="preserve"> The author used generative AI to assist with formatting the text, choosing words that suited the tone, and writing analysis code. The author reviewed and edited the content as needed and takes full responsibility for the content of the published article.</w:t>
      </w:r>
    </w:p>
    <w:p>
      <w:pPr>
        <w:spacing w:after="0" w:before="0" w:line="360" w:lineRule="auto"/>
      </w:pPr>
    </w:p>
    <w:p>
      <w:pPr>
        <w:spacing w:after="120" w:line="360" w:lineRule="auto"/>
        <w:ind w:firstLine="480"/>
      </w:pPr>
      <w:r>
        <w:rPr>
          <w:rFonts w:ascii="Times New Roman" w:hAnsi="Times New Roman" w:eastAsia="MS Mincho"/>
          <w:b w:val="0"/>
          <w:i/>
          <w:sz w:val="20"/>
        </w:rPr>
        <w:t>Ethics approval.</w:t>
      </w:r>
      <w:r>
        <w:rPr>
          <w:rFonts w:ascii="Times New Roman" w:hAnsi="Times New Roman" w:eastAsia="MS Mincho"/>
          <w:b w:val="0"/>
          <w:i w:val="0"/>
          <w:sz w:val="20"/>
        </w:rPr>
        <w:t xml:space="preserve"> This research uses publicly available, aggregate macroeconomic data (Penn World Table 10.01, World Bank CWON, World Bank WDI, OECD GFCF). No human subjects, animals, or personally identifiable data were involved. Ethical approval was not required.</w:t>
      </w:r>
    </w:p>
    <w:p>
      <w:pPr>
        <w:spacing w:after="0" w:before="0" w:line="360" w:lineRule="auto"/>
      </w:pPr>
    </w:p>
    <w:p>
      <w:pPr>
        <w:spacing w:after="120" w:line="360" w:lineRule="auto"/>
        <w:ind w:firstLine="480"/>
      </w:pPr>
      <w:r>
        <w:rPr>
          <w:rFonts w:ascii="Times New Roman" w:hAnsi="Times New Roman" w:eastAsia="MS Mincho"/>
          <w:b w:val="0"/>
          <w:i/>
          <w:sz w:val="20"/>
        </w:rPr>
        <w:t>Funding.</w:t>
      </w:r>
      <w:r>
        <w:rPr>
          <w:rFonts w:ascii="Times New Roman" w:hAnsi="Times New Roman" w:eastAsia="MS Mincho"/>
          <w:b w:val="0"/>
          <w:i w:val="0"/>
          <w:sz w:val="20"/>
        </w:rPr>
        <w:t xml:space="preserve"> No external funding was received for this research.</w:t>
      </w:r>
    </w:p>
    <w:p>
      <w:pPr>
        <w:spacing w:after="0" w:before="0" w:line="360" w:lineRule="auto"/>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