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pPr>
      <w:r>
        <w:rPr>
          <w:rFonts w:ascii="Times New Roman" w:hAnsi="Times New Roman" w:eastAsia="MS Mincho"/>
          <w:b/>
          <w:i w:val="0"/>
          <w:sz w:val="28"/>
        </w:rPr>
        <w:t>Time-Varying Time-to-Build in Capital Accounting: Reconciling Flow- and Stock-Based National Wealth Measures through a Time-Varying Perpetual Inventory Method with Intangible Capital</w:t>
      </w:r>
    </w:p>
    <w:p>
      <w:pPr>
        <w:spacing w:after="120" w:before="0" w:line="360" w:lineRule="auto"/>
      </w:pPr>
      <w:r>
        <w:rPr>
          <w:rFonts w:ascii="Times New Roman" w:hAnsi="Times New Roman" w:eastAsia="MS Mincho"/>
          <w:b w:val="0"/>
          <w:i w:val="0"/>
          <w:sz w:val="22"/>
        </w:rPr>
        <w:t>Tatsuki Onishi</w:t>
      </w:r>
    </w:p>
    <w:p>
      <w:pPr>
        <w:spacing w:after="120" w:before="0" w:line="360" w:lineRule="auto"/>
      </w:pPr>
      <w:r>
        <w:rPr>
          <w:rFonts w:ascii="Times New Roman" w:hAnsi="Times New Roman" w:eastAsia="MS Mincho"/>
          <w:b w:val="0"/>
          <w:i w:val="0"/>
          <w:sz w:val="22"/>
        </w:rPr>
        <w:t>Data Science AI Innovation Research Promotion Center, Shiga University</w:t>
      </w:r>
    </w:p>
    <w:p>
      <w:pPr>
        <w:spacing w:after="120" w:before="0" w:line="360" w:lineRule="auto"/>
      </w:pPr>
      <w:r>
        <w:rPr>
          <w:rFonts w:ascii="Times New Roman" w:hAnsi="Times New Roman" w:eastAsia="MS Mincho"/>
          <w:b w:val="0"/>
          <w:i w:val="0"/>
          <w:sz w:val="22"/>
        </w:rPr>
        <w:t>1-1-1, Bamba, Hikone, Shiga, 522-8522 Japan</w:t>
      </w:r>
    </w:p>
    <w:p>
      <w:pPr>
        <w:spacing w:after="120" w:before="0" w:line="360" w:lineRule="auto"/>
      </w:pPr>
      <w:r>
        <w:rPr>
          <w:rFonts w:ascii="Times New Roman" w:hAnsi="Times New Roman" w:eastAsia="MS Mincho"/>
          <w:b w:val="0"/>
          <w:i w:val="0"/>
          <w:sz w:val="22"/>
        </w:rPr>
        <w:t>Telephone: +81-749-27-1023. E-mail: bougtoir@gmail.com. ORCID: 0000-0001-7261-9062.</w:t>
      </w:r>
    </w:p>
    <w:p>
      <w:pPr>
        <w:spacing w:after="120" w:before="0" w:line="360" w:lineRule="auto"/>
      </w:pPr>
      <w:r>
        <w:rPr>
          <w:rFonts w:ascii="Times New Roman" w:hAnsi="Times New Roman" w:eastAsia="MS Mincho"/>
          <w:b w:val="0"/>
          <w:i w:val="0"/>
          <w:sz w:val="22"/>
        </w:rPr>
        <w:t>Keywords: time-to-build; perpetual inventory method; intangible capital; national wealth accounting; flow-stock consistency; Beyond-GDP.</w:t>
      </w:r>
    </w:p>
    <w:p>
      <w:pPr>
        <w:spacing w:after="120" w:before="0" w:line="360" w:lineRule="auto"/>
      </w:pPr>
      <w:r>
        <w:rPr>
          <w:rFonts w:ascii="Times New Roman" w:hAnsi="Times New Roman" w:eastAsia="MS Mincho"/>
          <w:b w:val="0"/>
          <w:i w:val="0"/>
          <w:sz w:val="22"/>
        </w:rPr>
        <w:t>JEL codes: E01 (Measurement and Data on National Income and Product Accounts); E22 (Investment; Capital; Intangible Capital); O47 (Measurement of Economic Growth; Aggregate Productivity).</w:t>
      </w:r>
    </w:p>
    <w:p>
      <w:pPr>
        <w:spacing w:after="120" w:before="0" w:line="360" w:lineRule="auto"/>
      </w:pPr>
      <w:r>
        <w:rPr>
          <w:rFonts w:ascii="Times New Roman" w:hAnsi="Times New Roman" w:eastAsia="MS Mincho"/>
          <w:b w:val="0"/>
          <w:i w:val="0"/>
          <w:sz w:val="22"/>
        </w:rPr>
        <w:t>CRediT contribution statement. O.T.: Conceptualization, Methodology, Software, Formal analysis, Writing - original draft, Writing - review &amp; editing.</w:t>
      </w:r>
    </w:p>
    <w:p>
      <w:pPr>
        <w:spacing w:after="120" w:before="0" w:line="360" w:lineRule="auto"/>
      </w:pPr>
      <w:r>
        <w:rPr>
          <w:rFonts w:ascii="Times New Roman" w:hAnsi="Times New Roman" w:eastAsia="MS Mincho"/>
          <w:b w:val="0"/>
          <w:i w:val="0"/>
          <w:sz w:val="22"/>
        </w:rPr>
        <w:t>Declaration of generative artificial intelligence (AI) in scientific writing. We used generative AI to help with formatting the text and choosing words that suited the tone, and to help writing codes.</w:t>
      </w:r>
    </w:p>
    <w:p>
      <w:pPr>
        <w:spacing w:after="120" w:before="0" w:line="360" w:lineRule="auto"/>
      </w:pPr>
      <w:r>
        <w:rPr>
          <w:rFonts w:ascii="Times New Roman" w:hAnsi="Times New Roman" w:eastAsia="MS Mincho"/>
          <w:b w:val="0"/>
          <w:i w:val="0"/>
          <w:sz w:val="22"/>
        </w:rPr>
        <w:t>Conflict of interest. The author declares no conflict of interest.</w:t>
      </w:r>
    </w:p>
    <w:p>
      <w:pPr>
        <w:spacing w:after="120" w:before="0" w:line="360" w:lineRule="auto"/>
      </w:pPr>
      <w:r>
        <w:rPr>
          <w:rFonts w:ascii="Times New Roman" w:hAnsi="Times New Roman" w:eastAsia="MS Mincho"/>
          <w:b w:val="0"/>
          <w:i w:val="0"/>
          <w:sz w:val="22"/>
        </w:rPr>
        <w:t>Data and code availability. Penn World Table 10.01 and World Bank CWON data used in this study are publicly available from the Groningen Growth and Development Centre and the World Bank, respectively. All analysis scripts, intermediate results, and manuscript sources are archived in the accompanying public repository.</w:t>
      </w:r>
    </w:p>
    <w:p>
      <w:pPr>
        <w:spacing w:after="120" w:before="0" w:line="360" w:lineRule="auto"/>
      </w:pPr>
      <w:r>
        <w:rPr>
          <w:rFonts w:ascii="Times New Roman" w:hAnsi="Times New Roman" w:eastAsia="MS Mincho"/>
          <w:b w:val="0"/>
          <w:i w:val="0"/>
          <w:sz w:val="22"/>
        </w:rPr>
        <w:t>Abstract (145 words). Standard perpetual-inventory capital stocks assume that investment contributes to productive capacity immediately (zero time-to-build) and that intangible capital is absent. We relax both assumptions simultaneously, allowing the mean investment-to-output lag μ(t) to drift linearly over time and augmenting the production function with an R&amp;D-based intangible stock weighted by share β. Across 39 OECD and middle-income economies (Penn World Table 10.01, World Bank CWON), allowing a positive time-to-build reduces the median out-of-sample MAPE of GDP level forecasts from 4.60% to 4.06%; allowing μ(t) to drift further reduces it to 3.99%. Adding intangible capital alone does not improve prediction (MAPE 4.72%), but jointly identifying (μ, β) against both production and wealth data reconciles the flow and stock accounts to within 1–2% for most advanced economies. The heuristic analogy to demographic tempo effects (Bongaarts-Feeney, Goldstein-Lutz-Scherbov) is outlined, with explicit discussion of where the analogy holds and where it breaks down.</w:t>
      </w:r>
    </w:p>
    <w:p>
      <w:pPr>
        <w:spacing w:after="120" w:before="0" w:line="360" w:lineRule="auto"/>
      </w:pPr>
      <w:r>
        <w:rPr>
          <w:rFonts w:ascii="Times New Roman" w:hAnsi="Times New Roman" w:eastAsia="MS Mincho"/>
          <w:b w:val="0"/>
          <w:i w:val="0"/>
          <w:sz w:val="22"/>
        </w:rPr>
        <w:t>Keywords: time-to-build; perpetual inventory method; intangible capital; wealth accounting; Beyond-GDP.</w:t>
      </w:r>
    </w:p>
    <w:p>
      <w:pPr>
        <w:spacing w:after="120" w:before="0" w:line="360" w:lineRule="auto"/>
      </w:pPr>
      <w:r>
        <w:rPr>
          <w:rFonts w:ascii="Times New Roman" w:hAnsi="Times New Roman" w:eastAsia="MS Mincho"/>
          <w:b w:val="0"/>
          <w:i w:val="0"/>
          <w:sz w:val="22"/>
        </w:rPr>
        <w:t>JEL codes: E01, E22, O47.</w:t>
      </w:r>
    </w:p>
    <w:p>
      <w:pPr>
        <w:spacing w:before="240" w:after="120"/>
      </w:pPr>
      <w:r>
        <w:rPr>
          <w:rFonts w:ascii="Times New Roman" w:hAnsi="Times New Roman" w:eastAsia="MS Mincho"/>
          <w:b/>
          <w:i w:val="0"/>
          <w:sz w:val="24"/>
        </w:rPr>
        <w:t>1. Introduction</w:t>
      </w:r>
    </w:p>
    <w:p>
      <w:pPr>
        <w:spacing w:after="120" w:before="0" w:line="360" w:lineRule="auto"/>
      </w:pPr>
      <w:r>
        <w:rPr>
          <w:rFonts w:ascii="Times New Roman" w:hAnsi="Times New Roman" w:eastAsia="MS Mincho"/>
          <w:b w:val="0"/>
          <w:i w:val="0"/>
          <w:sz w:val="22"/>
        </w:rPr>
        <w:t>Every macroeconomist has encountered two separate but related complaints about the way we measure national prosperity. First, Gross Domestic Product (GDP) is a flow measure that ignores depletion, depreciation, and the growing stock of intangible assets that drives modern productivity growth (Stiglitz, Sen, and Fitoussi, 2009; Corrado, Hulten, and Sichel, 2009; Haskel and Westlake, 2017). Second, stock-based alternatives such as the Inclusive Wealth Index (Managi and Kumar, 2018), the United Nations SEEA (UNECE, 2014), and the World Bank Changing Wealth of Nations (Lange, Wodon, and Carey, 2018) are attractive in principle but rarely line up with independently reconstructed capital stocks and never with one another. Flow-based and stock-based national accounts have lived side by side for twenty-five years without being reconciled.</w:t>
      </w:r>
    </w:p>
    <w:p>
      <w:pPr>
        <w:spacing w:after="120" w:before="0" w:line="360" w:lineRule="auto"/>
      </w:pPr>
      <w:r>
        <w:rPr>
          <w:rFonts w:ascii="Times New Roman" w:hAnsi="Times New Roman" w:eastAsia="MS Mincho"/>
          <w:b w:val="0"/>
          <w:i w:val="0"/>
          <w:sz w:val="22"/>
        </w:rPr>
        <w:t>This paper argues that a substantial share of this discrepancy can be attributed to two specification choices in the standard perpetual inventory method (PIM): the assumption that investment contributes to productive capacity immediately (zero time-to-build), and the exclusion of intangible capital from the production function. We relax both assumptions simultaneously. We allow the mean investment-to-output lag μ(t) to drift linearly over time, and we augment the production function with an R&amp;D-based intangible capital stock weighted by a share parameter β. The key empirical finding is that recognising a positive time-to-build — with or without time variation — reduces the median out-of-sample GDP level forecast error from 4.60% to 4.06% across 39 OECD and middle-income economies, a 12% relative improvement. Adding a linear drift to μ(t) reduces it further to 3.99%. Intangible capital alone does not improve out-of-sample prediction (MAPE 4.72%), but jointly identifying (μ, β) against both production data (Penn World Table) and wealth data (World Bank CWON) reconciles the flow and stock accounts to within 1–2% for most advanced economies. The joint identification also reveals that neither parameter is well identified from production data alone; the wealth-side constraint is essential.</w:t>
      </w:r>
    </w:p>
    <w:p>
      <w:pPr>
        <w:spacing w:after="120" w:before="0" w:line="360" w:lineRule="auto"/>
      </w:pPr>
      <w:r>
        <w:rPr>
          <w:rFonts w:ascii="Times New Roman" w:hAnsi="Times New Roman" w:eastAsia="MS Mincho"/>
          <w:b w:val="0"/>
          <w:i w:val="0"/>
          <w:sz w:val="22"/>
        </w:rPr>
        <w:t>The demographic analogy that motivates the joint treatment of μ and β is a heuristic borrowing from Bongaarts and Feeney (1998) and Goldstein, Lutz, and Scherbov (2003). In demography, a rising mean age at childbearing was shown to depress period fertility mechanically, and a "forgotten" parity-specific variance parameter was shown to restore the consistency between period and cohort accounts. The structural similarity — a flow statistic contaminated by drift in a timing distribution, with a single omitted quantity parameter — is suggestive. However, a caveat is in order from the outset. The time-to-build in capital accounting is a gestation lag with a clear engineering interpretation (Kydland and Prescott, 1982), not a statistical artifact of period-cohort aggregation. The demographic tempo adjustment corrects a purely compositional bias; the capital-accounting adjustment corrects a production-function timing mis-specification. The two problems involve different statistical objects and different identifying assumptions. The analogy is a useful pedagogical device and a source of hypotheses, not a claim of formal equivalence. We return to this distinction in Sections 3.4 and 6.2.</w:t>
      </w:r>
    </w:p>
    <w:p>
      <w:pPr>
        <w:spacing w:after="120" w:before="0" w:line="360" w:lineRule="auto"/>
      </w:pPr>
      <w:r>
        <w:rPr>
          <w:rFonts w:ascii="Times New Roman" w:hAnsi="Times New Roman" w:eastAsia="MS Mincho"/>
          <w:b w:val="0"/>
          <w:i w:val="0"/>
          <w:sz w:val="22"/>
        </w:rPr>
        <w:t>The remainder of the paper is organised as follows. Section 2 reviews the relevant literatures in capital accounting, intangible capital, and wealth measurement. Section 3 develops the time-varying PIM production function, the intangible augmentation, and the joint flow-stock identification framework. Section 4 describes the data, the five nested models M0–M4, and the estimation protocol. Section 5 reports results, including out-of-sample forecasts, flow-stock reconciliation, and bootstrap confidence intervals. Section 6 discusses implications for the interpretation of the Solow residual, the demographic analogy, and the Beyond-GDP debate, and explicitly states limitations. Section 7 concludes.</w:t>
      </w:r>
    </w:p>
    <w:p>
      <w:pPr>
        <w:spacing w:before="240" w:after="120"/>
      </w:pPr>
      <w:r>
        <w:rPr>
          <w:rFonts w:ascii="Times New Roman" w:hAnsi="Times New Roman" w:eastAsia="MS Mincho"/>
          <w:b/>
          <w:i w:val="0"/>
          <w:sz w:val="24"/>
        </w:rPr>
        <w:t>2. Related literature</w:t>
      </w:r>
    </w:p>
    <w:p>
      <w:pPr>
        <w:spacing w:before="240" w:after="120"/>
      </w:pPr>
      <w:r>
        <w:rPr>
          <w:rFonts w:ascii="Times New Roman" w:hAnsi="Times New Roman" w:eastAsia="MS Mincho"/>
          <w:b/>
          <w:i w:val="0"/>
          <w:sz w:val="22"/>
        </w:rPr>
        <w:t>2.1 Capital accounting, PIM, and asset-specific measurement</w:t>
      </w:r>
    </w:p>
    <w:p>
      <w:pPr>
        <w:spacing w:after="120" w:before="0" w:line="360" w:lineRule="auto"/>
      </w:pPr>
      <w:r>
        <w:rPr>
          <w:rFonts w:ascii="Times New Roman" w:hAnsi="Times New Roman" w:eastAsia="MS Mincho"/>
          <w:b w:val="0"/>
          <w:i w:val="0"/>
          <w:sz w:val="22"/>
        </w:rPr>
        <w:t>The perpetual inventory method (PIM) is the standard framework for constructing capital stocks in national accounts and in cross-country datasets such as the Penn World Table (PWT; Feenstra, Inklaar, and Timmer, 2015). The OECD Measuring Capital manual (OECD, 2009) codifies best practice: asset-specific service lives, age-efficiency profiles (geometric, linear, or hyperbolic), and vintage corrections. The PIM is not a single equation but a family of implementations whose accuracy depends on how well the assumed retirement and depreciation patterns match the actual composition of investment.</w:t>
      </w:r>
    </w:p>
    <w:p>
      <w:pPr>
        <w:spacing w:after="120" w:before="0" w:line="360" w:lineRule="auto"/>
      </w:pPr>
      <w:r>
        <w:rPr>
          <w:rFonts w:ascii="Times New Roman" w:hAnsi="Times New Roman" w:eastAsia="MS Mincho"/>
          <w:b w:val="0"/>
          <w:i w:val="0"/>
          <w:sz w:val="22"/>
        </w:rPr>
        <w:t>A large empirical literature has estimated time-to-build parameters from project-level and industry-level data. Mayer (1960) found mean gestation lags of 1–2 years for US manufacturing plant and equipment. Koeva (2000) reported similar estimates from cross-country aggregates. Kydland and Prescott (1982) embedded a multi-period investment lag in a business-cycle model and showed it improves propagation of technology shocks. Kaboski (2005) documented cross-industry heterogeneity — construction and mining have longer lags than retail and services — but estimated time-invariant lags within each industry. Altug (1989), Christiano and Todd (1996), and Edge (2007) allowed the lag distribution to vary with sectoral composition or stochastic structure, but did not allow the mean lag to drift systematically over the multi-decade horizons that characterise the post-1990 shift toward intangible-intensive investment.</w:t>
      </w:r>
    </w:p>
    <w:p>
      <w:pPr>
        <w:spacing w:after="120" w:before="0" w:line="360" w:lineRule="auto"/>
      </w:pPr>
      <w:r>
        <w:rPr>
          <w:rFonts w:ascii="Times New Roman" w:hAnsi="Times New Roman" w:eastAsia="MS Mincho"/>
          <w:b w:val="0"/>
          <w:i w:val="0"/>
          <w:sz w:val="22"/>
        </w:rPr>
        <w:t>Our work builds on this literature by letting the mean time-to-build drift linearly over time. While sectoral composition change has been the most studied channel through which the aggregate lag could evolve (OECD, 2009, Chap. 5), we model the drift parsimoniously as a linear trend, without attributing it to any single structural cause. A complementary tradition — vintage capital models (Solow, 1960; Jorgenson, 1973; Hulten, 1992) — recognises that capital of different vintages embodies different technologies and therefore different effective ages. Our approach is distinct from and simpler than vintage models: we do not track each vintage separately but instead adjust the timing with which all investment enters the stock, which is a coarser but more tractable correction for the aggregate production-function context.</w:t>
      </w:r>
    </w:p>
    <w:p>
      <w:pPr>
        <w:spacing w:after="120" w:before="0" w:line="360" w:lineRule="auto"/>
      </w:pPr>
      <w:r>
        <w:rPr>
          <w:rFonts w:ascii="Times New Roman" w:hAnsi="Times New Roman" w:eastAsia="MS Mincho"/>
          <w:b w:val="0"/>
          <w:i w:val="0"/>
          <w:sz w:val="22"/>
        </w:rPr>
        <w:t>We also acknowledge a limitation that the asset-specific PIM literature would flag: our aggregate μ(t) collapses potentially heterogeneous asset-level lags into a single parameter. If short-lived equipment (IT hardware, vehicles) and long-lived structures (R&amp;D labs, power plants) have diverging lag trends, the aggregate μ(t) may mask offsetting compositional shifts. Section 6.5 discusses the implications.</w:t>
      </w:r>
    </w:p>
    <w:p>
      <w:pPr>
        <w:spacing w:before="240" w:after="120"/>
      </w:pPr>
      <w:r>
        <w:rPr>
          <w:rFonts w:ascii="Times New Roman" w:hAnsi="Times New Roman" w:eastAsia="MS Mincho"/>
          <w:b/>
          <w:i w:val="0"/>
          <w:sz w:val="22"/>
        </w:rPr>
        <w:t>2.2 Intangible capital</w:t>
      </w:r>
    </w:p>
    <w:p>
      <w:pPr>
        <w:spacing w:after="120" w:before="0" w:line="360" w:lineRule="auto"/>
      </w:pPr>
      <w:r>
        <w:rPr>
          <w:rFonts w:ascii="Times New Roman" w:hAnsi="Times New Roman" w:eastAsia="MS Mincho"/>
          <w:b w:val="0"/>
          <w:i w:val="0"/>
          <w:sz w:val="22"/>
        </w:rPr>
        <w:t>The programme begun by Corrado, Hulten, and Sichel (2005, 2009) has by now produced robust international evidence that software, R&amp;D, design, brand, organisational capital, and training account for 30–60% of productivity growth in advanced economies (INTAN-Invest: Corrado et al., 2016; Roth, 2023). The 2008 revision of the SNA formally incorporated R&amp;D into produced capital, but broader intangibles — organisational capital, brand, training, purchased design services, some categories of financial innovation — remain excluded from most official balance sheets, including the World Bank CWON (Lange et al., 2018, Chap. 3). De Rassenfosse and Jaffe (2018) and Haskel and Westlake (2017, 2022) emphasise that this omission biases not only the level of measured capital but also the implied productivity growth rate whenever the intangible share is expanding.</w:t>
      </w:r>
    </w:p>
    <w:p>
      <w:pPr>
        <w:spacing w:after="120" w:before="0" w:line="360" w:lineRule="auto"/>
      </w:pPr>
      <w:r>
        <w:rPr>
          <w:rFonts w:ascii="Times New Roman" w:hAnsi="Times New Roman" w:eastAsia="MS Mincho"/>
          <w:b w:val="0"/>
          <w:i w:val="0"/>
          <w:sz w:val="22"/>
        </w:rPr>
        <w:t>Our treatment follows CHS (2009) in assuming a geometric PIM for intangible capital with a fixed depreciation rate δ_I = 0.15. This is a deliberate simplification. More recent work (Corrado et al., 2020) uses asset-specific depreciation rates for different intangible categories, which would refine the measurement. However, given that our R&amp;D expenditure data are at the national aggregate level and our sample spans 39 countries with varying data quality, the single-depreciation assumption is a necessary compromise. Importantly, the intangible share β is not a global constant: Japan, Germany, and some East-Asian economies retain a smaller intangible share than the United States even under harmonised measurement (Corrado et al., 2020), so β ought to be a country-specific parameter, which is how we treat it in Section 4.</w:t>
      </w:r>
    </w:p>
    <w:p>
      <w:pPr>
        <w:spacing w:before="240" w:after="120"/>
      </w:pPr>
      <w:r>
        <w:rPr>
          <w:rFonts w:ascii="Times New Roman" w:hAnsi="Times New Roman" w:eastAsia="MS Mincho"/>
          <w:b/>
          <w:i w:val="0"/>
          <w:sz w:val="22"/>
        </w:rPr>
        <w:t>2.3 Wealth accounting and flow-stock reconciliation</w:t>
      </w:r>
    </w:p>
    <w:p>
      <w:pPr>
        <w:spacing w:after="120" w:before="0" w:line="360" w:lineRule="auto"/>
      </w:pPr>
      <w:r>
        <w:rPr>
          <w:rFonts w:ascii="Times New Roman" w:hAnsi="Times New Roman" w:eastAsia="MS Mincho"/>
          <w:b w:val="0"/>
          <w:i w:val="0"/>
          <w:sz w:val="22"/>
        </w:rPr>
        <w:t>The Beyond-GDP movement, from Stiglitz-Sen-Fitoussi (2009) through Jorgenson (2018) and Managi-Kumar (2018), proposes to replace or augment GDP with wealth-style aggregates. Empirically, however, the three main aggregates — SEEA, IWI, and CWON — disagree materially both with each other and with independently reconstructed perpetual-inventory stocks (Arrow et al., 2012; Dasgupta, 2021). The mainstream diagnosis blames measurement error and the treatment of natural capital. We show that a more mundane culprit — a mis-specified time-to-build and an omitted intangible share — explains a sizeable fraction of the discrepancy.</w:t>
      </w:r>
    </w:p>
    <w:p>
      <w:pPr>
        <w:spacing w:after="120" w:before="0" w:line="360" w:lineRule="auto"/>
      </w:pPr>
      <w:r>
        <w:rPr>
          <w:rFonts w:ascii="Times New Roman" w:hAnsi="Times New Roman" w:eastAsia="MS Mincho"/>
          <w:b w:val="0"/>
          <w:i w:val="0"/>
          <w:sz w:val="22"/>
        </w:rPr>
        <w:t>A separate strand of work has examined the consistency between flow-based and stock-based accounts from an accounting-identity perspective. Jorgenson (2018) emphasises that the production and wealth accounts are linked by the accumulation identity dW/dt = S(Y) − δW, but notes that empirical implementations rarely enforce this linkage. Our joint identification framework (Section 3.3) is a direct econometric application of this identity, which distinguishes it from most existing wealth-accounting studies that treat the production and wealth sides independently.</w:t>
      </w:r>
    </w:p>
    <w:p>
      <w:pPr>
        <w:spacing w:before="240" w:after="120"/>
      </w:pPr>
      <w:r>
        <w:rPr>
          <w:rFonts w:ascii="Times New Roman" w:hAnsi="Times New Roman" w:eastAsia="MS Mincho"/>
          <w:b/>
          <w:i w:val="0"/>
          <w:sz w:val="22"/>
        </w:rPr>
        <w:t>2.4 Tempo effects in demography: a heuristic analogy</w:t>
      </w:r>
    </w:p>
    <w:p>
      <w:pPr>
        <w:spacing w:after="120" w:before="0" w:line="360" w:lineRule="auto"/>
      </w:pPr>
      <w:r>
        <w:rPr>
          <w:rFonts w:ascii="Times New Roman" w:hAnsi="Times New Roman" w:eastAsia="MS Mincho"/>
          <w:b w:val="0"/>
          <w:i w:val="0"/>
          <w:sz w:val="22"/>
        </w:rPr>
        <w:t>Bongaarts and Feeney (1998) introduced the adjustment TFR\ = TFR/(1 − r(t)) where r(t)* is the annual change in the mean age at childbearing. Goldstein, Lutz, and Scherbov (2003) showed that Bongaarts-Feeney was an upper bound unless a parity-specific "forgotten" variance σ was re-introduced. Kohler, Billari, and Ortega (2002) and Bongaarts and Sobotka (2012) confirmed both findings across Europe. The structural lesson — that flow statistics of a stock process can be contaminated by drift in the timing distribution, and that a single omitted quantity parameter can restore consistency — is the heuristic that motivates our joint treatment of μ and β.</w:t>
      </w:r>
    </w:p>
    <w:p>
      <w:pPr>
        <w:spacing w:after="120" w:before="0" w:line="360" w:lineRule="auto"/>
      </w:pPr>
      <w:r>
        <w:rPr>
          <w:rFonts w:ascii="Times New Roman" w:hAnsi="Times New Roman" w:eastAsia="MS Mincho"/>
          <w:b w:val="0"/>
          <w:i w:val="0"/>
          <w:sz w:val="22"/>
        </w:rPr>
        <w:t>We emphasise that this is a heuristic analogy, not a formal identity. The demographic tempo effect corrects a compositional bias arising from period-cohort aggregation in heterogeneous populations. The capital-accounting correction adjusts a production-function timing mis-specification. The mathematical forms are similar (a distributed lag with a drifting mean), but the identifying assumptions and the interpretation of the parameters differ. We use the demographic vocabulary ("tempo", "forgotten parameter") as a pedagogical convenience and to highlight the structural symmetry, but we do not claim that the two problems reduce to the same statistical object.</w:t>
      </w:r>
    </w:p>
    <w:p>
      <w:pPr>
        <w:spacing w:before="240" w:after="120"/>
      </w:pPr>
      <w:r>
        <w:rPr>
          <w:rFonts w:ascii="Times New Roman" w:hAnsi="Times New Roman" w:eastAsia="MS Mincho"/>
          <w:b/>
          <w:i w:val="0"/>
          <w:sz w:val="22"/>
        </w:rPr>
        <w:t>2.5 The gap this paper fills</w:t>
      </w:r>
    </w:p>
    <w:p>
      <w:pPr>
        <w:spacing w:after="120" w:before="0" w:line="360" w:lineRule="auto"/>
      </w:pPr>
      <w:r>
        <w:rPr>
          <w:rFonts w:ascii="Times New Roman" w:hAnsi="Times New Roman" w:eastAsia="MS Mincho"/>
          <w:b w:val="0"/>
          <w:i w:val="0"/>
          <w:sz w:val="22"/>
        </w:rPr>
        <w:t>The literatures above individually treat (i) capital time-to-build, (ii) intangibles, (iii) wealth aggregates, and (iv) demographic tempo. To our knowledge, no prior work simultaneously (a) estimates a time-varying time-to-build, (b) recovers the CHS intangible share, and (c) disciplines both with a wealth-accounting identity. A secondary contribution is to treat the PIM and the wealth-stock equations as two equally informative windows onto the same latent process rather than as competing aggregates whose disagreement is a nuisance to be absorbed into residuals.</w:t>
      </w:r>
    </w:p>
    <w:p>
      <w:pPr>
        <w:spacing w:before="240" w:after="120"/>
      </w:pPr>
      <w:r>
        <w:rPr>
          <w:rFonts w:ascii="Times New Roman" w:hAnsi="Times New Roman" w:eastAsia="MS Mincho"/>
          <w:b/>
          <w:i w:val="0"/>
          <w:sz w:val="24"/>
        </w:rPr>
        <w:t>3. Theory</w:t>
      </w:r>
    </w:p>
    <w:p>
      <w:pPr>
        <w:spacing w:before="240" w:after="120"/>
      </w:pPr>
      <w:r>
        <w:rPr>
          <w:rFonts w:ascii="Times New Roman" w:hAnsi="Times New Roman" w:eastAsia="MS Mincho"/>
          <w:b/>
          <w:i w:val="0"/>
          <w:sz w:val="22"/>
        </w:rPr>
        <w:t>3.1 Flow-side production function with time-varying time-to-build</w:t>
      </w:r>
    </w:p>
    <w:p>
      <w:pPr>
        <w:spacing w:after="120" w:before="0" w:line="360" w:lineRule="auto"/>
      </w:pPr>
      <w:r>
        <w:rPr>
          <w:rFonts w:ascii="Times New Roman" w:hAnsi="Times New Roman" w:eastAsia="MS Mincho"/>
          <w:b w:val="0"/>
          <w:i w:val="0"/>
          <w:sz w:val="22"/>
        </w:rPr>
        <w:t>The textbook production function treats investment as if it matures instantly:</w:t>
      </w:r>
    </w:p>
    <w:p>
      <w:pPr>
        <w:spacing w:after="120" w:before="0" w:line="360" w:lineRule="auto"/>
      </w:pPr>
      <w:r>
        <w:rPr>
          <w:rFonts w:ascii="Times New Roman" w:hAnsi="Times New Roman" w:eastAsia="MS Mincho"/>
          <w:b w:val="0"/>
          <w:i w:val="0"/>
          <w:sz w:val="22"/>
        </w:rPr>
        <w:t>K_instant(t) = (1 − δ_{t-1}) K_instant(t−1) + I_{t-1},                         (M0)</w:t>
      </w:r>
    </w:p>
    <w:p>
      <w:pPr>
        <w:spacing w:after="120" w:before="0" w:line="360" w:lineRule="auto"/>
      </w:pPr>
      <w:r>
        <w:rPr>
          <w:rFonts w:ascii="Times New Roman" w:hAnsi="Times New Roman" w:eastAsia="MS Mincho"/>
          <w:b w:val="0"/>
          <w:i w:val="0"/>
          <w:sz w:val="22"/>
        </w:rPr>
        <w:t>so the Solow (1957) residual aggregates all mis-specification into total factor productivity (TFP). Since Mayer (1960) and Kydland-Prescott (1982) it is well known that, in reality, investment accrues to the stock only after a lag. We write this as a distributed-lag perpetual inventory:</w:t>
      </w:r>
    </w:p>
    <w:p>
      <w:pPr>
        <w:spacing w:after="120" w:before="0" w:line="360" w:lineRule="auto"/>
      </w:pPr>
      <w:r>
        <w:rPr>
          <w:rFonts w:ascii="Times New Roman" w:hAnsi="Times New Roman" w:eastAsia="MS Mincho"/>
          <w:b w:val="0"/>
          <w:i w:val="0"/>
          <w:sz w:val="22"/>
        </w:rPr>
        <w:t>K(t; μ) = (1 − δ_{t-1}) K(t−1; μ) + Σₛ w_s(μ) I_{t-1-s},                     (M1)</w:t>
      </w:r>
    </w:p>
    <w:p>
      <w:pPr>
        <w:spacing w:after="120" w:before="0" w:line="360" w:lineRule="auto"/>
      </w:pPr>
      <w:r>
        <w:rPr>
          <w:rFonts w:ascii="Times New Roman" w:hAnsi="Times New Roman" w:eastAsia="MS Mincho"/>
          <w:b w:val="0"/>
          <w:i w:val="0"/>
          <w:sz w:val="22"/>
        </w:rPr>
        <w:t>with geometric weights w_s(μ) = (1 − θ)·θ^s and θ = μ/(1+μ), so the mean lag is exactly μ years. Our first extension is to allow μ to drift linearly over time:</w:t>
      </w:r>
    </w:p>
    <w:p>
      <w:pPr>
        <w:spacing w:after="120" w:before="0" w:line="360" w:lineRule="auto"/>
      </w:pPr>
      <w:r>
        <w:rPr>
          <w:rFonts w:ascii="Times New Roman" w:hAnsi="Times New Roman" w:eastAsia="MS Mincho"/>
          <w:b w:val="0"/>
          <w:i w:val="0"/>
          <w:sz w:val="22"/>
        </w:rPr>
        <w:t>μ(t) = μ₀ + μ₁·(t − t₀),                                                    (M2)</w:t>
      </w:r>
    </w:p>
    <w:p>
      <w:pPr>
        <w:spacing w:after="120" w:before="0" w:line="360" w:lineRule="auto"/>
      </w:pPr>
      <w:r>
        <w:rPr>
          <w:rFonts w:ascii="Times New Roman" w:hAnsi="Times New Roman" w:eastAsia="MS Mincho"/>
          <w:b w:val="0"/>
          <w:i w:val="0"/>
          <w:sz w:val="22"/>
        </w:rPr>
        <w:t>where μ₁ captures the secular trend in the mean time-to-build. A positive μ₁ indicates that typical projects are becoming longer-lived — for example because new investment is increasingly digital infrastructure, R&amp;D platforms, or complex systems that require multi-year assembly — and a negative μ₁ would indicate the opposite.</w:t>
      </w:r>
    </w:p>
    <w:p>
      <w:pPr>
        <w:spacing w:after="120" w:before="0" w:line="360" w:lineRule="auto"/>
      </w:pPr>
      <w:r>
        <w:rPr>
          <w:rFonts w:ascii="Times New Roman" w:hAnsi="Times New Roman" w:eastAsia="MS Mincho"/>
          <w:b w:val="0"/>
          <w:i w:val="0"/>
          <w:sz w:val="22"/>
        </w:rPr>
        <w:t>Equation (M2) is a reduced form. We do not attribute the drift to any single structural cause; it could reflect sectoral composition change (OECD, 2009), rising intangible intensity (Corrado et al., 2016), or regulatory lengthening of project approval times. The linear specification is the simplest possible and is motivated by the demographic literature's treatment of the mean age at childbearing (Bongaarts and Feeney, 1998), but we emphasise that this is a modelling choice rather than a structural estimate. We test a constant-lag alternative (M1) alongside M2 in all specifications.</w:t>
      </w:r>
    </w:p>
    <w:p>
      <w:pPr>
        <w:spacing w:before="240" w:after="120"/>
      </w:pPr>
      <w:r>
        <w:rPr>
          <w:rFonts w:ascii="Times New Roman" w:hAnsi="Times New Roman" w:eastAsia="MS Mincho"/>
          <w:b/>
          <w:i w:val="0"/>
          <w:sz w:val="22"/>
        </w:rPr>
        <w:t>3.2 Stock-side intangibles</w:t>
      </w:r>
    </w:p>
    <w:p>
      <w:pPr>
        <w:spacing w:after="120" w:before="0" w:line="360" w:lineRule="auto"/>
      </w:pPr>
      <w:r>
        <w:rPr>
          <w:rFonts w:ascii="Times New Roman" w:hAnsi="Times New Roman" w:eastAsia="MS Mincho"/>
          <w:b w:val="0"/>
          <w:i w:val="0"/>
          <w:sz w:val="22"/>
        </w:rPr>
        <w:t>Let K_tang(t) be the tangible PIM stock from (M1)–(M2) and K_I(t) be an intangible stock built from R&amp;D expenditure by a geometric PIM with depreciation δ_I = 0.15 (Corrado-Hulten-Sichel, 2009). A production function augmented by intangibles reads:</w:t>
      </w:r>
    </w:p>
    <w:p>
      <w:pPr>
        <w:spacing w:after="120" w:before="0" w:line="360" w:lineRule="auto"/>
      </w:pPr>
      <w:r>
        <w:rPr>
          <w:rFonts w:ascii="Times New Roman" w:hAnsi="Times New Roman" w:eastAsia="MS Mincho"/>
          <w:b w:val="0"/>
          <w:i w:val="0"/>
          <w:sz w:val="22"/>
        </w:rPr>
        <w:t>log Y_t = α log K_tang(t) + β log K_I(t) + (1 − α − β) log L_t + log A_t,    (M3)</w:t>
      </w:r>
    </w:p>
    <w:p>
      <w:pPr>
        <w:spacing w:after="120" w:before="0" w:line="360" w:lineRule="auto"/>
      </w:pPr>
      <w:r>
        <w:rPr>
          <w:rFonts w:ascii="Times New Roman" w:hAnsi="Times New Roman" w:eastAsia="MS Mincho"/>
          <w:b w:val="0"/>
          <w:i w:val="0"/>
          <w:sz w:val="22"/>
        </w:rPr>
        <w:t>where β is the intangible output share. Standard practice imposes β = 0 (Solow; also M0 and M1 here). We estimate β per country.</w:t>
      </w:r>
    </w:p>
    <w:p>
      <w:pPr>
        <w:spacing w:before="240" w:after="120"/>
      </w:pPr>
      <w:r>
        <w:rPr>
          <w:rFonts w:ascii="Times New Roman" w:hAnsi="Times New Roman" w:eastAsia="MS Mincho"/>
          <w:b/>
          <w:i w:val="0"/>
          <w:sz w:val="22"/>
        </w:rPr>
        <w:t>3.3 Unifying identity: the flow-stock joint loss</w:t>
      </w:r>
    </w:p>
    <w:p>
      <w:pPr>
        <w:spacing w:after="120" w:before="0" w:line="360" w:lineRule="auto"/>
      </w:pPr>
      <w:r>
        <w:rPr>
          <w:rFonts w:ascii="Times New Roman" w:hAnsi="Times New Roman" w:eastAsia="MS Mincho"/>
          <w:b w:val="0"/>
          <w:i w:val="0"/>
          <w:sz w:val="22"/>
        </w:rPr>
        <w:t>Any consistent national wealth aggregate W(t) must satisfy the book-keeping identity</w:t>
      </w:r>
    </w:p>
    <w:p>
      <w:pPr>
        <w:spacing w:after="120" w:before="0" w:line="360" w:lineRule="auto"/>
      </w:pPr>
      <w:r>
        <w:rPr>
          <w:rFonts w:ascii="Times New Roman" w:hAnsi="Times New Roman" w:eastAsia="MS Mincho"/>
          <w:b w:val="0"/>
          <w:i w:val="0"/>
          <w:sz w:val="22"/>
        </w:rPr>
        <w:t>dW/dt = S(Y) − δ_W · W,                                                       (1)</w:t>
      </w:r>
    </w:p>
    <w:p>
      <w:pPr>
        <w:spacing w:after="120" w:before="0" w:line="360" w:lineRule="auto"/>
      </w:pPr>
      <w:r>
        <w:rPr>
          <w:rFonts w:ascii="Times New Roman" w:hAnsi="Times New Roman" w:eastAsia="MS Mincho"/>
          <w:b w:val="0"/>
          <w:i w:val="0"/>
          <w:sz w:val="22"/>
        </w:rPr>
        <w:t>where S(Y) is gross saving and δ_W is the aggregate depreciation rate. Under (1), the same parameters {μ, β} that govern the production side should also govern the reproducible-capital trajectory implied by the wealth account. We therefore define a single joint loss:</w:t>
      </w:r>
    </w:p>
    <w:p>
      <w:pPr>
        <w:spacing w:after="120" w:before="0" w:line="360" w:lineRule="auto"/>
      </w:pPr>
      <w:r>
        <w:rPr>
          <w:rFonts w:ascii="Times New Roman" w:hAnsi="Times New Roman" w:eastAsia="MS Mincho"/>
          <w:b w:val="0"/>
          <w:i w:val="0"/>
          <w:sz w:val="22"/>
        </w:rPr>
        <w:t>L_total(μ, β) = L_production(μ, β) + λ · L_wealth(μ, β),                      (2)</w:t>
      </w:r>
    </w:p>
    <w:p>
      <w:pPr>
        <w:spacing w:after="120" w:before="0" w:line="360" w:lineRule="auto"/>
      </w:pPr>
      <w:r>
        <w:rPr>
          <w:rFonts w:ascii="Times New Roman" w:hAnsi="Times New Roman" w:eastAsia="MS Mincho"/>
          <w:b w:val="0"/>
          <w:i w:val="0"/>
          <w:sz w:val="22"/>
        </w:rPr>
        <w:t>where L_production is the growth-rate residual from the production function (M3) and L_wealth is the within-country trajectory RMSE between the PIM stock K_tang(t; μ) + β · K_I(t) and the CWON produced-capital series NW.PCA.TO(t). Minimising (2) delivers the "M4 joint" estimates (μ̂_joint, β̂_joint) used below; setting λ = 0 recovers production-only estimates.</w:t>
      </w:r>
    </w:p>
    <w:p>
      <w:pPr>
        <w:spacing w:before="240" w:after="120"/>
      </w:pPr>
      <w:r>
        <w:rPr>
          <w:rFonts w:ascii="Times New Roman" w:hAnsi="Times New Roman" w:eastAsia="MS Mincho"/>
          <w:b/>
          <w:i w:val="0"/>
          <w:sz w:val="22"/>
        </w:rPr>
        <w:t>3.4 Relational PIM: a new identification framework (M5)</w:t>
      </w:r>
    </w:p>
    <w:p>
      <w:pPr>
        <w:spacing w:after="120" w:before="0" w:line="360" w:lineRule="auto"/>
      </w:pPr>
      <w:r>
        <w:rPr>
          <w:rFonts w:ascii="Times New Roman" w:hAnsi="Times New Roman" w:eastAsia="MS Mincho"/>
          <w:b w:val="0"/>
          <w:i w:val="0"/>
          <w:sz w:val="22"/>
        </w:rPr>
        <w:t>A limitation shared by M0–M4 is that the PIM stock is constructed independently of wealth data; the CWON series enters only through the penalty term in (2). We now introduce a method that treats the wealth account as an explicit benchmark for the capital stock trajectory, analogous to the Brass relational model in demography.</w:t>
      </w:r>
    </w:p>
    <w:p>
      <w:pPr>
        <w:spacing w:after="120" w:before="0" w:line="360" w:lineRule="auto"/>
      </w:pPr>
      <w:r>
        <w:rPr>
          <w:rFonts w:ascii="Times New Roman" w:hAnsi="Times New Roman" w:eastAsia="MS Mincho"/>
          <w:b w:val="0"/>
          <w:i w:val="0"/>
          <w:sz w:val="22"/>
        </w:rPr>
        <w:t>The Brass (1971) relational model expresses a target life-table function as a linear transformation of a standard life-table function. When Goldstein, Lutz, and Scherbov (2003) re-introduced the parity-specific variance σ as the "forgotten parameter," they effectively estimated a relational model in which the period fertility schedule was related to a cohort standard through two parameters: a level shift and a slope (spread) parameter.</w:t>
      </w:r>
    </w:p>
    <w:p>
      <w:pPr>
        <w:spacing w:after="120" w:before="0" w:line="360" w:lineRule="auto"/>
      </w:pPr>
      <w:r>
        <w:rPr>
          <w:rFonts w:ascii="Times New Roman" w:hAnsi="Times New Roman" w:eastAsia="MS Mincho"/>
          <w:b w:val="0"/>
          <w:i w:val="0"/>
          <w:sz w:val="22"/>
        </w:rPr>
        <w:t>We port this logic to capital accounting. Let K_CWON(t) be the produced-capital series from the World Bank CWON, and let K_PIM(t; μ, β) be the PIM-constructed capital stock. Define the relational model:</w:t>
      </w:r>
    </w:p>
    <w:p>
      <w:pPr>
        <w:spacing w:after="120" w:before="0" w:line="360" w:lineRule="auto"/>
      </w:pPr>
      <w:r>
        <w:rPr>
          <w:rFonts w:ascii="Times New Roman" w:hAnsi="Times New Roman" w:eastAsia="MS Mincho"/>
          <w:b w:val="0"/>
          <w:i w:val="0"/>
          <w:sz w:val="22"/>
        </w:rPr>
        <w:t>log K_PIM(t; μ, β) = ρ₁ + ρ₂ · log K_CWON(t) + ε(t),                         (M5)</w:t>
      </w:r>
    </w:p>
    <w:p>
      <w:pPr>
        <w:spacing w:after="120" w:before="0" w:line="360" w:lineRule="auto"/>
      </w:pPr>
      <w:r>
        <w:rPr>
          <w:rFonts w:ascii="Times New Roman" w:hAnsi="Times New Roman" w:eastAsia="MS Mincho"/>
          <w:b w:val="0"/>
          <w:i w:val="0"/>
          <w:sz w:val="22"/>
        </w:rPr>
        <w:t>with ε(t) assumed stationary. The parameters (ρ₁, ρ₂) are novel diagnostic quantities:</w:t>
      </w:r>
    </w:p>
    <w:p>
      <w:pPr>
        <w:spacing w:after="120" w:before="0" w:line="360" w:lineRule="auto"/>
      </w:pPr>
      <w:r>
        <w:rPr>
          <w:rFonts w:ascii="Times New Roman" w:hAnsi="Times New Roman" w:eastAsia="MS Mincho"/>
          <w:b w:val="0"/>
          <w:i w:val="0"/>
          <w:sz w:val="22"/>
        </w:rPr>
        <w:t>- ρ₂ ≈ 1, ρ₁ ≈ 0: the PIM and CWON accounts agree up to random noise — the benchmark case.</w:t>
      </w:r>
    </w:p>
    <w:p>
      <w:pPr>
        <w:spacing w:after="120" w:before="0" w:line="360" w:lineRule="auto"/>
      </w:pPr>
      <w:r>
        <w:rPr>
          <w:rFonts w:ascii="Times New Roman" w:hAnsi="Times New Roman" w:eastAsia="MS Mincho"/>
          <w:b w:val="0"/>
          <w:i w:val="0"/>
          <w:sz w:val="22"/>
        </w:rPr>
        <w:t>- ρ₂ ≠ 1: a systematic bias exists: if ρ₂ &lt; 1, the PIM stock is compressing the wealth account's movements (e.g., because the PIM's geometric depreciation smooths out asset-price revaluations that CWON captures). If ρ₂ &gt; 1, the PIM stock is amplifying them.</w:t>
      </w:r>
    </w:p>
    <w:p>
      <w:pPr>
        <w:spacing w:after="120" w:before="0" w:line="360" w:lineRule="auto"/>
      </w:pPr>
      <w:r>
        <w:rPr>
          <w:rFonts w:ascii="Times New Roman" w:hAnsi="Times New Roman" w:eastAsia="MS Mincho"/>
          <w:b w:val="0"/>
          <w:i w:val="0"/>
          <w:sz w:val="22"/>
        </w:rPr>
        <w:t>- ρ₁ captures the mean log-level difference between the two accounts after controlling for the slope.</w:t>
      </w:r>
    </w:p>
    <w:p>
      <w:pPr>
        <w:spacing w:after="120" w:before="0" w:line="360" w:lineRule="auto"/>
      </w:pPr>
      <w:r>
        <w:rPr>
          <w:rFonts w:ascii="Times New Roman" w:hAnsi="Times New Roman" w:eastAsia="MS Mincho"/>
          <w:b w:val="0"/>
          <w:i w:val="0"/>
          <w:sz w:val="22"/>
        </w:rPr>
        <w:t>The key methodological innovation is to use (M5) as an identification device rather than a post-estimation diagnostic. We define the M5 estimator:</w:t>
      </w:r>
    </w:p>
    <w:p>
      <w:pPr>
        <w:spacing w:after="120" w:before="0" w:line="360" w:lineRule="auto"/>
      </w:pPr>
      <w:r>
        <w:rPr>
          <w:rFonts w:ascii="Times New Roman" w:hAnsi="Times New Roman" w:eastAsia="MS Mincho"/>
          <w:b w:val="0"/>
          <w:i w:val="0"/>
          <w:sz w:val="22"/>
        </w:rPr>
        <w:t>(μ̂_M5, β̂_M5) = argmin_{μ, β} L_total(μ, β),</w:t>
      </w:r>
    </w:p>
    <w:p>
      <w:pPr>
        <w:spacing w:after="120" w:before="0" w:line="360" w:lineRule="auto"/>
      </w:pPr>
      <w:r>
        <w:rPr>
          <w:rFonts w:ascii="Times New Roman" w:hAnsi="Times New Roman" w:eastAsia="MS Mincho"/>
          <w:b w:val="0"/>
          <w:i w:val="0"/>
          <w:sz w:val="22"/>
        </w:rPr>
        <w:t>subject to: ρ̂₂(μ, β) ≥ 1 − τ  and  |ρ̂₁(μ, β)| ≤ ν,</w:t>
      </w:r>
    </w:p>
    <w:p>
      <w:pPr>
        <w:spacing w:after="120" w:before="0" w:line="360" w:lineRule="auto"/>
      </w:pPr>
      <w:r>
        <w:rPr>
          <w:rFonts w:ascii="Times New Roman" w:hAnsi="Times New Roman" w:eastAsia="MS Mincho"/>
          <w:b w:val="0"/>
          <w:i w:val="0"/>
          <w:sz w:val="22"/>
        </w:rPr>
        <w:t>where ρ̂₁ and ρ̂₂ are the OLS estimates from (M5) evaluated at the candidate (μ, β), and τ and ν are user-specified tolerance parameters (we set τ = 0.10 and ν = 0.05 in the baseline, and test sensitivity). The constraint ensures that the PIM stock is not systematically compressing or amplifying the wealth-account trajectory beyond a pre-specified tolerance. This is a relational PIM (RPIM): the wealth account constrains the PIM not through a black-box penalty weight λ but through an explicit diagnostic that has a direct demographic analogue.</w:t>
      </w:r>
    </w:p>
    <w:p>
      <w:pPr>
        <w:spacing w:after="120" w:before="0" w:line="360" w:lineRule="auto"/>
      </w:pPr>
      <w:r>
        <w:rPr>
          <w:rFonts w:ascii="Times New Roman" w:hAnsi="Times New Roman" w:eastAsia="MS Mincho"/>
          <w:b w:val="0"/>
          <w:i w:val="0"/>
          <w:sz w:val="22"/>
        </w:rPr>
        <w:t>The estimator differs from M4 in two ways. First, M4 minimises an unconstrained weighted sum of production and wealth losses; M5 imposes an explicit constraint on the (ρ₁, ρ₂) diagnostic, which is interpretable as "the PIM stock must respect the shape of the wealth-account trajectory." Second, the M5 framework produces (ρ₁, ρ₂) as by-products that can be compared across countries — a new set of diagnostic statistics for national accounts consistency — whereas M4's λ is a scalar whose value is difficult to compare across settings.</w:t>
      </w:r>
    </w:p>
    <w:p>
      <w:pPr>
        <w:spacing w:after="120" w:before="0" w:line="360" w:lineRule="auto"/>
      </w:pPr>
      <w:r>
        <w:rPr>
          <w:rFonts w:ascii="Times New Roman" w:hAnsi="Times New Roman" w:eastAsia="MS Mincho"/>
          <w:b w:val="0"/>
          <w:i w:val="0"/>
          <w:sz w:val="22"/>
        </w:rPr>
        <w:t>We also note a natural connection to the δ-drift problem (Section 6.5). If ρ₂ &lt; 1 for a country even after joint estimation, one interpretation is that the PIM depreciation rate δ_t is too high, causing the stock to converge too rapidly toward a steady-state level; a downward adjustment of δ would shift ρ₂ toward unity. We explore this in the δ-ρ₂ sensitivity analysis below.</w:t>
      </w:r>
    </w:p>
    <w:p>
      <w:pPr>
        <w:spacing w:before="240" w:after="120"/>
      </w:pPr>
      <w:r>
        <w:rPr>
          <w:rFonts w:ascii="Times New Roman" w:hAnsi="Times New Roman" w:eastAsia="MS Mincho"/>
          <w:b/>
          <w:i w:val="0"/>
          <w:sz w:val="22"/>
        </w:rPr>
        <w:t>3.5 Heuristic correspondence between population and capital accounting</w:t>
      </w:r>
    </w:p>
    <w:p>
      <w:pPr>
        <w:spacing w:after="120" w:before="0" w:line="360" w:lineRule="auto"/>
      </w:pPr>
      <w:r>
        <w:rPr>
          <w:rFonts w:ascii="Times New Roman" w:hAnsi="Times New Roman" w:eastAsia="MS Mincho"/>
          <w:b w:val="0"/>
          <w:i w:val="0"/>
          <w:sz w:val="22"/>
        </w:rPr>
        <w:t>Table A1 (Appendix) lays out the mapping between the demographic variables that Bongaarts-Feeney-Goldstein-Lutz-Scherbov analysed and the capital-accounting variables we analyse. We include this mapping for two reasons. First, it helps readers familiar with the demographic literature to see the structural parallels. Second, it highlights where the analogy breaks down: capital stocks depreciate via an estimated δ_t rather than via well-measured mortality rates, and the time-to-build is a gestation lag rather than a period-cohort aggregation bias. The mapping is a pedagogical device, not a formal equivalence.</w:t>
      </w:r>
    </w:p>
    <w:p>
      <w:pPr>
        <w:spacing w:before="240" w:after="120"/>
      </w:pPr>
      <w:r>
        <w:rPr>
          <w:rFonts w:ascii="Times New Roman" w:hAnsi="Times New Roman" w:eastAsia="MS Mincho"/>
          <w:b/>
          <w:i w:val="0"/>
          <w:sz w:val="24"/>
        </w:rPr>
        <w:t>4. Data and methods</w:t>
      </w:r>
    </w:p>
    <w:p>
      <w:pPr>
        <w:spacing w:before="240" w:after="120"/>
      </w:pPr>
      <w:r>
        <w:rPr>
          <w:rFonts w:ascii="Times New Roman" w:hAnsi="Times New Roman" w:eastAsia="MS Mincho"/>
          <w:b/>
          <w:i w:val="0"/>
          <w:sz w:val="22"/>
        </w:rPr>
        <w:t>4.1 Data</w:t>
      </w:r>
    </w:p>
    <w:p>
      <w:pPr>
        <w:spacing w:after="120" w:before="0" w:line="360" w:lineRule="auto"/>
      </w:pPr>
      <w:r>
        <w:rPr>
          <w:rFonts w:ascii="Times New Roman" w:hAnsi="Times New Roman" w:eastAsia="MS Mincho"/>
          <w:b w:val="0"/>
          <w:i w:val="0"/>
          <w:sz w:val="22"/>
        </w:rPr>
        <w:t>We use Penn World Table 10.01 (Feenstra, Inklaar, and Timmer, 2015) for real GDP output (rgdpna), tangible capital stock (rnna), investment share (csh_i), depreciation (delta), employment (emp), average hours (avh), human-capital index (hc), and labour share (labsh). For R&amp;D intensity we use World Bank WDI series GB.XPD.RSDV.GD.ZS. For wealth we use World Bank Changing Wealth of Nations 2021 release (Lange, Wodon, and Carey, 2018) — specifically NW.PCA.TO (produced capital total), NW.HCA.TO (human capital total), and NW.TOW.TO (total wealth).</w:t>
      </w:r>
    </w:p>
    <w:p>
      <w:pPr>
        <w:spacing w:after="120" w:before="0" w:line="360" w:lineRule="auto"/>
      </w:pPr>
      <w:r>
        <w:rPr>
          <w:rFonts w:ascii="Times New Roman" w:hAnsi="Times New Roman" w:eastAsia="MS Mincho"/>
          <w:b w:val="0"/>
          <w:i w:val="0"/>
          <w:sz w:val="22"/>
        </w:rPr>
        <w:t>The sample is 39 OECD and middle-income economies for which all series are available. The GDP sample runs from 1970 to 2019; CWON runs 1995–2020; we take the intersection 1995–2019 when both are needed.</w:t>
      </w:r>
    </w:p>
    <w:p>
      <w:pPr>
        <w:spacing w:before="240" w:after="120"/>
      </w:pPr>
      <w:r>
        <w:rPr>
          <w:rFonts w:ascii="Times New Roman" w:hAnsi="Times New Roman" w:eastAsia="MS Mincho"/>
          <w:b/>
          <w:i w:val="0"/>
          <w:sz w:val="22"/>
        </w:rPr>
        <w:t>4.2 Models M0–M5 and additional benchmarks</w:t>
      </w:r>
    </w:p>
    <w:p>
      <w:pPr>
        <w:spacing w:after="120" w:before="0" w:line="360" w:lineRule="auto"/>
      </w:pPr>
      <w:r>
        <w:rPr>
          <w:rFonts w:ascii="Times New Roman" w:hAnsi="Times New Roman" w:eastAsia="MS Mincho"/>
          <w:b w:val="0"/>
          <w:i w:val="0"/>
          <w:sz w:val="22"/>
        </w:rPr>
        <w:t>We estimate six nested production-function specifications:</w:t>
      </w:r>
    </w:p>
    <w:p>
      <w:pPr>
        <w:spacing w:after="120" w:before="0" w:line="360" w:lineRule="auto"/>
      </w:pPr>
      <w:r>
        <w:rPr>
          <w:rFonts w:ascii="Times New Roman" w:hAnsi="Times New Roman" w:eastAsia="MS Mincho"/>
          <w:b w:val="0"/>
          <w:i w:val="0"/>
          <w:sz w:val="22"/>
        </w:rPr>
        <w:t xml:space="preserve"> M0: Solow baseline, K_tang* as (M0), β = 0.</w:t>
      </w:r>
    </w:p>
    <w:p>
      <w:pPr>
        <w:spacing w:after="120" w:before="0" w:line="360" w:lineRule="auto"/>
      </w:pPr>
      <w:r>
        <w:rPr>
          <w:rFonts w:ascii="Times New Roman" w:hAnsi="Times New Roman" w:eastAsia="MS Mincho"/>
          <w:b w:val="0"/>
          <w:i w:val="0"/>
          <w:sz w:val="22"/>
        </w:rPr>
        <w:t xml:space="preserve"> M1: Constant-lag PIM (M1) with μ = μ\ estimated per country by minimising Test B (growth-rate RMSE).</w:t>
      </w:r>
    </w:p>
    <w:p>
      <w:pPr>
        <w:spacing w:after="120" w:before="0" w:line="360" w:lineRule="auto"/>
      </w:pPr>
      <w:r>
        <w:rPr>
          <w:rFonts w:ascii="Times New Roman" w:hAnsi="Times New Roman" w:eastAsia="MS Mincho"/>
          <w:b w:val="0"/>
          <w:i w:val="0"/>
          <w:sz w:val="22"/>
        </w:rPr>
        <w:t>* M2: Time-varying lag μ(t) = μ₀ + μ₁·(t − t₀) from (M2).</w:t>
      </w:r>
    </w:p>
    <w:p>
      <w:pPr>
        <w:spacing w:after="120" w:before="0" w:line="360" w:lineRule="auto"/>
      </w:pPr>
      <w:r>
        <w:rPr>
          <w:rFonts w:ascii="Times New Roman" w:hAnsi="Times New Roman" w:eastAsia="MS Mincho"/>
          <w:b w:val="0"/>
          <w:i w:val="0"/>
          <w:sz w:val="22"/>
        </w:rPr>
        <w:t>* M3: M0 tangible stock augmented with intangible stock K_I and β estimated by growth-rate fit.</w:t>
      </w:r>
    </w:p>
    <w:p>
      <w:pPr>
        <w:spacing w:after="120" w:before="0" w:line="360" w:lineRule="auto"/>
      </w:pPr>
      <w:r>
        <w:rPr>
          <w:rFonts w:ascii="Times New Roman" w:hAnsi="Times New Roman" w:eastAsia="MS Mincho"/>
          <w:b w:val="0"/>
          <w:i w:val="0"/>
          <w:sz w:val="22"/>
        </w:rPr>
        <w:t>* M4: Joint identification (Section 3.3), minimising (2) over (μ, β) simultaneously against CWON.</w:t>
      </w:r>
    </w:p>
    <w:p>
      <w:pPr>
        <w:spacing w:after="120" w:before="0" w:line="360" w:lineRule="auto"/>
      </w:pPr>
      <w:r>
        <w:rPr>
          <w:rFonts w:ascii="Times New Roman" w:hAnsi="Times New Roman" w:eastAsia="MS Mincho"/>
          <w:b w:val="0"/>
          <w:i w:val="0"/>
          <w:sz w:val="22"/>
        </w:rPr>
        <w:t>* M5: Relational PIM (RPIM), as defined in Section 3.4. Minimises (2) subject to the (ρ₁, ρ₂) constraints ρ̂₂ ≥ 0.90 and |ρ̂₁| ≤ 0.05.</w:t>
      </w:r>
    </w:p>
    <w:p>
      <w:pPr>
        <w:spacing w:after="120" w:before="0" w:line="360" w:lineRule="auto"/>
      </w:pPr>
      <w:r>
        <w:rPr>
          <w:rFonts w:ascii="Times New Roman" w:hAnsi="Times New Roman" w:eastAsia="MS Mincho"/>
          <w:b w:val="0"/>
          <w:i w:val="0"/>
          <w:sz w:val="22"/>
        </w:rPr>
        <w:t>To address the question of whether the improvement in fit comes from allowing any positive lag versus specifically from the time variation in μ(t), we also estimate two additional benchmarks:</w:t>
      </w:r>
    </w:p>
    <w:p>
      <w:pPr>
        <w:spacing w:after="120" w:before="0" w:line="360" w:lineRule="auto"/>
      </w:pPr>
      <w:r>
        <w:rPr>
          <w:rFonts w:ascii="Times New Roman" w:hAnsi="Times New Roman" w:eastAsia="MS Mincho"/>
          <w:b w:val="0"/>
          <w:i w:val="0"/>
          <w:sz w:val="22"/>
        </w:rPr>
        <w:t>* M1a (AR(1) distributed lag): K(t) = (1 − δ)K(t−1) + φ·I(t−1) + (1−φ)·I(t−2). This is a fixed two-period distributed lag with a single parameter φ ∈ [0, 1] estimated per country, which nests M0 (φ = 1) and M1 with μ = 1 (φ = 0) as special cases. Unlike M1, M1a does not use the geometric lag kernel; it provides an alternative non-parametric benchmark against which the geometric assumption of M1–M2 can be tested.</w:t>
      </w:r>
    </w:p>
    <w:p>
      <w:pPr>
        <w:spacing w:after="120" w:before="0" w:line="360" w:lineRule="auto"/>
      </w:pPr>
      <w:r>
        <w:rPr>
          <w:rFonts w:ascii="Times New Roman" w:hAnsi="Times New Roman" w:eastAsia="MS Mincho"/>
          <w:b w:val="0"/>
          <w:i w:val="0"/>
          <w:sz w:val="22"/>
        </w:rPr>
        <w:t>* M2a (broken-trend μ): μ(t) = μ₀ + μ₁·max(0, t − t_break), where t_break is a single structural break estimated by grid search over {1990, 1995, 2000, 2005, 2010}. This tests whether the linear drift in M2 is driven by a single regime change rather than a gradual trend.</w:t>
      </w:r>
    </w:p>
    <w:p>
      <w:pPr>
        <w:spacing w:after="120" w:before="0" w:line="360" w:lineRule="auto"/>
      </w:pPr>
      <w:r>
        <w:rPr>
          <w:rFonts w:ascii="Times New Roman" w:hAnsi="Times New Roman" w:eastAsia="MS Mincho"/>
          <w:b w:val="0"/>
          <w:i w:val="0"/>
          <w:sz w:val="22"/>
        </w:rPr>
        <w:t>For each model we report two within-sample test statistics and one out-of-sample test statistic:</w:t>
      </w:r>
    </w:p>
    <w:p>
      <w:pPr>
        <w:spacing w:after="120" w:before="0" w:line="360" w:lineRule="auto"/>
      </w:pPr>
      <w:r>
        <w:rPr>
          <w:rFonts w:ascii="Times New Roman" w:hAnsi="Times New Roman" w:eastAsia="MS Mincho"/>
          <w:b w:val="0"/>
          <w:i w:val="0"/>
          <w:sz w:val="22"/>
        </w:rPr>
        <w:t>* Test A (level MAPE): mean absolute percentage error of fitted log-GDP against observed log-GDP, decomposing away decade-mean TFP. Lower is better.</w:t>
      </w:r>
    </w:p>
    <w:p>
      <w:pPr>
        <w:spacing w:after="120" w:before="0" w:line="360" w:lineRule="auto"/>
      </w:pPr>
      <w:r>
        <w:rPr>
          <w:rFonts w:ascii="Times New Roman" w:hAnsi="Times New Roman" w:eastAsia="MS Mincho"/>
          <w:b w:val="0"/>
          <w:i w:val="0"/>
          <w:sz w:val="22"/>
        </w:rPr>
        <w:t>* Test B (growth RMSE): root-mean-squared error of 1-year log-GDP differences, in percentage points. Lower is better.</w:t>
      </w:r>
    </w:p>
    <w:p>
      <w:pPr>
        <w:spacing w:after="120" w:before="0" w:line="360" w:lineRule="auto"/>
      </w:pPr>
      <w:r>
        <w:rPr>
          <w:rFonts w:ascii="Times New Roman" w:hAnsi="Times New Roman" w:eastAsia="MS Mincho"/>
          <w:b w:val="0"/>
          <w:i w:val="0"/>
          <w:sz w:val="22"/>
        </w:rPr>
        <w:t>* Out-of-sample MAPE: parameters fit on 1970–2014, level forecasts produced for 2015–2019 with a training-window TFP projection. Lower is better.</w:t>
      </w:r>
    </w:p>
    <w:p>
      <w:pPr>
        <w:spacing w:before="240" w:after="120"/>
      </w:pPr>
      <w:r>
        <w:rPr>
          <w:rFonts w:ascii="Times New Roman" w:hAnsi="Times New Roman" w:eastAsia="MS Mincho"/>
          <w:b/>
          <w:i w:val="0"/>
          <w:sz w:val="22"/>
        </w:rPr>
        <w:t>4.3 Estimation protocol and grid search</w:t>
      </w:r>
    </w:p>
    <w:p>
      <w:pPr>
        <w:spacing w:after="120" w:before="0" w:line="360" w:lineRule="auto"/>
      </w:pPr>
      <w:r>
        <w:rPr>
          <w:rFonts w:ascii="Times New Roman" w:hAnsi="Times New Roman" w:eastAsia="MS Mincho"/>
          <w:b w:val="0"/>
          <w:i w:val="0"/>
          <w:sz w:val="22"/>
        </w:rPr>
        <w:t>All five models are estimated by grid search, not gradient optimisation, for three reasons. First, the objective function (2) has known non-convexities induced by the geometric lag kernel, especially when μ is small and the kernel is near-concentrated. Second, grid search produces an explicit posterior-like surface for each (country, model) pair, which we use in the sensitivity checks below. Third, the 39-country × 5-model × 1000-draw bootstrap would be intractable with a Nelder-Mead or BFGS inner loop for many countries. The μ grid is {0.01, 0.05, 0.10, 0.25, 0.50, 1.0, 1.5, 2.0, 3.0, 4.5, 6.0} years and the β grid is {0.00, 0.02, 0.04, ..., 0.34}; μ₁ is searched on {−0.08, −0.04, −0.02, 0, +0.02, +0.04, +0.08} per year. These bounds were selected to bracket all plausible parameter values reported in prior cross-country studies (Kaboski, 2005; Corrado et al., 2016), and we verified that no country's optimum hits the grid boundary. The anchor year t₀ is 1970 for all countries, so that μ₀ is the average lag in the base year; this choice has no effect on fit but makes μ₀ and μ₁ interpretable.</w:t>
      </w:r>
    </w:p>
    <w:p>
      <w:pPr>
        <w:spacing w:before="240" w:after="120"/>
      </w:pPr>
      <w:r>
        <w:rPr>
          <w:rFonts w:ascii="Times New Roman" w:hAnsi="Times New Roman" w:eastAsia="MS Mincho"/>
          <w:b/>
          <w:i w:val="0"/>
          <w:sz w:val="22"/>
        </w:rPr>
        <w:t>4.4 Bootstrap confidence intervals</w:t>
      </w:r>
    </w:p>
    <w:p>
      <w:pPr>
        <w:spacing w:after="120" w:before="0" w:line="360" w:lineRule="auto"/>
      </w:pPr>
      <w:r>
        <w:rPr>
          <w:rFonts w:ascii="Times New Roman" w:hAnsi="Times New Roman" w:eastAsia="MS Mincho"/>
          <w:b w:val="0"/>
          <w:i w:val="0"/>
          <w:sz w:val="22"/>
        </w:rPr>
        <w:t>For every country we residual-bootstrap the growth-rate residuals of M4 one hundred times (block size 1, since the autocorrelation structure of PWT annual-growth residuals is weak after detrending; block size 3 gives nearly identical 95 % intervals on a pilot of five countries). Each bootstrap replicate proceeds as follows: (i) compute fitted growth rates from M4 and the corresponding residuals; (ii) resample the residuals and reconstruct a synthetic log-GDP series; (iii) back out a synthetic investment series using the PWT investment-share csh_i and a synthetic R&amp;D intensity using WDI shares; (iv) rebuild K_tang and K_I; (v) re-run the joint-identification grid, storing (μ_b, β_b). We report 95 % percentile intervals in Figure 3 and per-country medians in the supplementary JSON. Country-specific CIs are narrowest for long, non-volatile series (United States, Canada, Germany, France, United Kingdom, Japan, Australia) and widest for short or post-transition series (Estonia, Latvia, Chile). We do not adjust the 95 % intervals for multiple testing across countries; the reader who wants a conservative reading should apply a Bonferroni-style 5 %/39 ≈ 0.13 % threshold, under which μ = 0 is still rejected for 14 countries and β = 0 for 9 countries.</w:t>
      </w:r>
    </w:p>
    <w:p>
      <w:pPr>
        <w:spacing w:before="240" w:after="120"/>
      </w:pPr>
      <w:r>
        <w:rPr>
          <w:rFonts w:ascii="Times New Roman" w:hAnsi="Times New Roman" w:eastAsia="MS Mincho"/>
          <w:b/>
          <w:i w:val="0"/>
          <w:sz w:val="22"/>
        </w:rPr>
        <w:t>4.5 γ_price sensitivity</w:t>
      </w:r>
    </w:p>
    <w:p>
      <w:pPr>
        <w:spacing w:after="120" w:before="0" w:line="360" w:lineRule="auto"/>
      </w:pPr>
      <w:r>
        <w:rPr>
          <w:rFonts w:ascii="Times New Roman" w:hAnsi="Times New Roman" w:eastAsia="MS Mincho"/>
          <w:b w:val="0"/>
          <w:i w:val="0"/>
          <w:sz w:val="22"/>
        </w:rPr>
        <w:t>To test whether the residual PIM-CWON gap in countries such as Japan reflects an asset-price re-evaluation effect rather than a real capital gap, we re-run the comparison under five counterfactual scenarios in which CWON PCA is inflated/deflated at an annual rate γ_price ∈ {−0.04, −0.02, 0, +0.02, +0.04}. A large γ_price sensitivity for a specific country would indicate that asset-price revaluation explains most of its gap; a small sensitivity would indicate a genuine real discrepancy. The interval ±0.04 per year brackets the observed rate of deflation in Japanese urban land prices during the 1990s (Nishimura and Saita, 2005) as well as the observed rate of reflation in US commercial real-estate between 2009 and 2019, so the grid is economically meaningful rather than arbitrary. We stress that γ_price is not intended to be an additional estimand of the joint framework — if it were, it would enter (2) alongside μ and β. Rather, it is a diagnostic: a residual gap between the PIM account and the CWON account at a specific γ_price value admits exactly one of three interpretations, namely (a) quantity mis-measurement in the PIM, (b) quantity mis-measurement in CWON, or (c) genuine composition change (e.g. a real shift from tangible to intangible capital that neither account has fully absorbed). The γ_price sweep helps identify (a) and (b) against (c).</w:t>
      </w:r>
    </w:p>
    <w:p>
      <w:pPr>
        <w:spacing w:before="240" w:after="120"/>
      </w:pPr>
      <w:r>
        <w:rPr>
          <w:rFonts w:ascii="Times New Roman" w:hAnsi="Times New Roman" w:eastAsia="MS Mincho"/>
          <w:b/>
          <w:i w:val="0"/>
          <w:sz w:val="22"/>
        </w:rPr>
        <w:t>4.6 δ-ρ₂ joint sensitivity</w:t>
      </w:r>
    </w:p>
    <w:p>
      <w:pPr>
        <w:spacing w:after="120" w:before="0" w:line="360" w:lineRule="auto"/>
      </w:pPr>
      <w:r>
        <w:rPr>
          <w:rFonts w:ascii="Times New Roman" w:hAnsi="Times New Roman" w:eastAsia="MS Mincho"/>
          <w:b w:val="0"/>
          <w:i w:val="0"/>
          <w:sz w:val="22"/>
        </w:rPr>
        <w:t>As noted in Section 3.4, the ρ₂ diagnostic from (M5) is informative about potential δ-drift. If a country's estimated ρ₂ is below 0.90 even after joint estimation, one possible explanation is that the PIM depreciation rate δ_t (taken from PWT) is too high, causing the stock to converge too rapidly. To test this, we re-estimate M5 under five counterfactual depreciation scenarios δ′ = δ × {0.80, 0.90, 1.00, 1.10, 1.20}. For each scenario, we record (μ̂′, ρ̂₂′) and plot the ρ₂-δ isoquant. The slope of this isoquant — i.e., the percentage change in ρ₂ per percentage change in δ — is a country-specific measure of how much of the PIM-CWON mismatch is attributable to depreciation mis-specification rather than to time-to-build or intangible omission. We report the median and IQR of this slope across the 39 countries, and flag countries for which ρ̂₂ moves above 0.90 under a δ reduction of 10% or less as cases where δ-drift is a plausible alternative explanation.</w:t>
      </w:r>
    </w:p>
    <w:p>
      <w:pPr>
        <w:spacing w:before="240" w:after="120"/>
      </w:pPr>
      <w:r>
        <w:rPr>
          <w:rFonts w:ascii="Times New Roman" w:hAnsi="Times New Roman" w:eastAsia="MS Mincho"/>
          <w:b/>
          <w:i w:val="0"/>
          <w:sz w:val="24"/>
        </w:rPr>
        <w:t>5. Results</w:t>
      </w:r>
    </w:p>
    <w:p>
      <w:pPr>
        <w:spacing w:before="240" w:after="120"/>
      </w:pPr>
      <w:r>
        <w:rPr>
          <w:rFonts w:ascii="Times New Roman" w:hAnsi="Times New Roman" w:eastAsia="MS Mincho"/>
          <w:b/>
          <w:i w:val="0"/>
          <w:sz w:val="22"/>
        </w:rPr>
        <w:t>5.1 In-sample parameter distributions and fit</w:t>
      </w:r>
    </w:p>
    <w:p>
      <w:pPr>
        <w:spacing w:after="120" w:before="0" w:line="360" w:lineRule="auto"/>
      </w:pPr>
      <w:r>
        <w:rPr>
          <w:rFonts w:ascii="Times New Roman" w:hAnsi="Times New Roman" w:eastAsia="MS Mincho"/>
          <w:b w:val="0"/>
          <w:i w:val="0"/>
          <w:sz w:val="22"/>
        </w:rPr>
        <w:t>[Table 1 here]</w:t>
      </w:r>
    </w:p>
    <w:p>
      <w:pPr>
        <w:spacing w:after="120" w:before="0" w:line="360" w:lineRule="auto"/>
      </w:pPr>
      <w:r>
        <w:rPr>
          <w:rFonts w:ascii="Times New Roman" w:hAnsi="Times New Roman" w:eastAsia="MS Mincho"/>
          <w:b w:val="0"/>
          <w:i w:val="0"/>
          <w:sz w:val="22"/>
        </w:rPr>
        <w:t>Table 1 summarises the five models. Three facts deserve particular emphasis. First, the median in-sample growth-rate RMSE hardly moves across M0–M4 (3.07–3.10 pp). This is what standard Solow-accounting practitioners have found repeatedly when they experimented with alternative capital constructions (Jorgenson and Griliches, 1967; Hulten, 1992), and it is one reason why the profession has settled on M0 as the canonical baseline: within-sample growth-rate fit does not discipline μ at all. Second, the median level MAPE under M0 is 4.10%, meaning that a carefully re-estimated TFP trajectory can absorb nearly all of a 4% miscalibration in the capital stock at every point in time while preserving the first-differenced fit. This illustrates the warning of Griliches (1996) that "TFP is the measure of our ignorance". Third, the distribution of estimated μ across the 39 countries is highly non-degenerate. The interquartile range under M1 runs from below 0.1 years to above 1.2 years, and the drift μ₁ under M2 has an IQR that includes both negative and positive values. The median country has a M1 constant lag μ\ ≈ 0.3 years and a M2 drift μ₁ close to zero on average but with wide dispersion across countries (IQR roughly [−0.02, +0.05]). Median intangible share β under M3 is about 0.06 for production-only fitting.</w:t>
      </w:r>
    </w:p>
    <w:p>
      <w:pPr>
        <w:spacing w:before="240" w:after="120"/>
      </w:pPr>
      <w:r>
        <w:rPr>
          <w:rFonts w:ascii="Times New Roman" w:hAnsi="Times New Roman" w:eastAsia="MS Mincho"/>
          <w:b/>
          <w:i w:val="0"/>
          <w:sz w:val="22"/>
        </w:rPr>
        <w:t>5.2 Out-of-sample prediction: where the gains come from</w:t>
      </w:r>
    </w:p>
    <w:p>
      <w:pPr>
        <w:spacing w:after="120" w:before="0" w:line="360" w:lineRule="auto"/>
      </w:pPr>
      <w:r>
        <w:rPr>
          <w:rFonts w:ascii="Times New Roman" w:hAnsi="Times New Roman" w:eastAsia="MS Mincho"/>
          <w:b w:val="0"/>
          <w:i w:val="0"/>
          <w:sz w:val="22"/>
        </w:rPr>
        <w:t>[Figure 1 here]</w:t>
      </w:r>
    </w:p>
    <w:p>
      <w:pPr>
        <w:spacing w:after="120" w:before="0" w:line="360" w:lineRule="auto"/>
      </w:pPr>
      <w:r>
        <w:rPr>
          <w:rFonts w:ascii="Times New Roman" w:hAnsi="Times New Roman" w:eastAsia="MS Mincho"/>
          <w:b w:val="0"/>
          <w:i w:val="0"/>
          <w:sz w:val="22"/>
        </w:rPr>
        <w:t>Figure 1 shows the key out-of-sample results. With parameters fit on 1970–2014 and level forecasts produced for 2015–2019, the median out-of-sample MAPE is:</w:t>
      </w:r>
    </w:p>
    <w:p>
      <w:pPr>
        <w:spacing w:after="40" w:before="40"/>
        <w:ind w:left="283"/>
      </w:pPr>
      <w:r>
        <w:rPr>
          <w:rFonts w:ascii="Courier New" w:hAnsi="Courier New" w:eastAsia="MS Mincho"/>
          <w:b w:val="0"/>
          <w:i w:val="0"/>
          <w:sz w:val="18"/>
        </w:rPr>
        <w:t>| Model | Out-of-sample MAPE (median, %) |</w:t>
      </w:r>
    </w:p>
    <w:p>
      <w:pPr>
        <w:spacing w:after="120" w:before="0" w:line="360" w:lineRule="auto"/>
      </w:pPr>
      <w:r>
        <w:rPr>
          <w:rFonts w:ascii="Times New Roman" w:hAnsi="Times New Roman" w:eastAsia="MS Mincho"/>
          <w:b w:val="0"/>
          <w:i w:val="0"/>
          <w:sz w:val="22"/>
        </w:rPr>
        <w:t>|-------|-------------------------------|</w:t>
      </w:r>
    </w:p>
    <w:p>
      <w:pPr>
        <w:spacing w:after="40" w:before="40"/>
        <w:ind w:left="283"/>
      </w:pPr>
      <w:r>
        <w:rPr>
          <w:rFonts w:ascii="Courier New" w:hAnsi="Courier New" w:eastAsia="MS Mincho"/>
          <w:b w:val="0"/>
          <w:i w:val="0"/>
          <w:sz w:val="18"/>
        </w:rPr>
        <w:t>| M0 (Solow baseline) | 4.60 |</w:t>
      </w:r>
    </w:p>
    <w:p>
      <w:pPr>
        <w:spacing w:after="40" w:before="40"/>
        <w:ind w:left="283"/>
      </w:pPr>
      <w:r>
        <w:rPr>
          <w:rFonts w:ascii="Courier New" w:hAnsi="Courier New" w:eastAsia="MS Mincho"/>
          <w:b w:val="0"/>
          <w:i w:val="0"/>
          <w:sz w:val="18"/>
        </w:rPr>
        <w:t>| M1a (AR(1) distributed lag) | 4.10 |</w:t>
      </w:r>
    </w:p>
    <w:p>
      <w:pPr>
        <w:spacing w:after="40" w:before="40"/>
        <w:ind w:left="283"/>
      </w:pPr>
      <w:r>
        <w:rPr>
          <w:rFonts w:ascii="Courier New" w:hAnsi="Courier New" w:eastAsia="MS Mincho"/>
          <w:b w:val="0"/>
          <w:i w:val="0"/>
          <w:sz w:val="18"/>
        </w:rPr>
        <w:t>| M1 (constant lag) | 4.06 |</w:t>
      </w:r>
    </w:p>
    <w:p>
      <w:pPr>
        <w:spacing w:after="40" w:before="40"/>
        <w:ind w:left="283"/>
      </w:pPr>
      <w:r>
        <w:rPr>
          <w:rFonts w:ascii="Courier New" w:hAnsi="Courier New" w:eastAsia="MS Mincho"/>
          <w:b w:val="0"/>
          <w:i w:val="0"/>
          <w:sz w:val="18"/>
        </w:rPr>
        <w:t>| M2 (time-varying μ(t)) | 3.99 |</w:t>
      </w:r>
    </w:p>
    <w:p>
      <w:pPr>
        <w:spacing w:after="40" w:before="40"/>
        <w:ind w:left="283"/>
      </w:pPr>
      <w:r>
        <w:rPr>
          <w:rFonts w:ascii="Courier New" w:hAnsi="Courier New" w:eastAsia="MS Mincho"/>
          <w:b w:val="0"/>
          <w:i w:val="0"/>
          <w:sz w:val="18"/>
        </w:rPr>
        <w:t>| M3 (intangibles only) | 4.72 |</w:t>
      </w:r>
    </w:p>
    <w:p>
      <w:pPr>
        <w:spacing w:after="40" w:before="40"/>
        <w:ind w:left="283"/>
      </w:pPr>
      <w:r>
        <w:rPr>
          <w:rFonts w:ascii="Courier New" w:hAnsi="Courier New" w:eastAsia="MS Mincho"/>
          <w:b w:val="0"/>
          <w:i w:val="0"/>
          <w:sz w:val="18"/>
        </w:rPr>
        <w:t>| M4 (joint μ + β) | 4.61 |</w:t>
      </w:r>
    </w:p>
    <w:p>
      <w:pPr>
        <w:spacing w:after="40" w:before="40"/>
        <w:ind w:left="283"/>
      </w:pPr>
      <w:r>
        <w:rPr>
          <w:rFonts w:ascii="Courier New" w:hAnsi="Courier New" w:eastAsia="MS Mincho"/>
          <w:b w:val="0"/>
          <w:i w:val="0"/>
          <w:sz w:val="18"/>
        </w:rPr>
        <w:t>| **M5 (relational PIM)** | **4.58** |</w:t>
      </w:r>
    </w:p>
    <w:p>
      <w:pPr>
        <w:spacing w:after="120" w:before="0" w:line="360" w:lineRule="auto"/>
      </w:pPr>
      <w:r>
        <w:rPr>
          <w:rFonts w:ascii="Times New Roman" w:hAnsi="Times New Roman" w:eastAsia="MS Mincho"/>
          <w:b w:val="0"/>
          <w:i w:val="0"/>
          <w:sz w:val="22"/>
        </w:rPr>
        <w:t>Four findings stand out.</w:t>
      </w:r>
    </w:p>
    <w:p>
      <w:pPr>
        <w:spacing w:after="120" w:before="0" w:line="360" w:lineRule="auto"/>
      </w:pPr>
      <w:r>
        <w:rPr>
          <w:rFonts w:ascii="Times New Roman" w:hAnsi="Times New Roman" w:eastAsia="MS Mincho"/>
          <w:b w:val="0"/>
          <w:i w:val="0"/>
          <w:sz w:val="22"/>
        </w:rPr>
        <w:t>First, the main improvement comes from allowing a positive time-to-build, not from time variation per se. M1 (constant lag) reduces MAPE from 4.60% to 4.06%, achieving the bulk of the total improvement. M2 (time-varying lag) improves further to 3.99%, confirming that the linear drift adds a modest incremental gain (0.07 pp) relative to a constant lag. M1a (AR(1) distributed lag) achieves 4.10%, close to M1, indicating that the result is not sensitive to the geometric lag specification. The implication is clear: the standard PIM assumption of instantaneous investment is the dominant source of mis-specification, and the time-varying extension is a secondary refinement.</w:t>
      </w:r>
    </w:p>
    <w:p>
      <w:pPr>
        <w:spacing w:after="120" w:before="0" w:line="360" w:lineRule="auto"/>
      </w:pPr>
      <w:r>
        <w:rPr>
          <w:rFonts w:ascii="Times New Roman" w:hAnsi="Times New Roman" w:eastAsia="MS Mincho"/>
          <w:b w:val="0"/>
          <w:i w:val="0"/>
          <w:sz w:val="22"/>
        </w:rPr>
        <w:t>Second, intangible capital alone (M3) does not improve out-of-sample prediction (MAPE 4.72%), and combining all corrections (M4, MAPE 4.61%) does not outperform M1 alone. This is a negative result that deserves honest reporting. Adding a co-moving intangible stock widens forecast uncertainty, especially under the 2015–2019 global slowdown that affected R&amp;D-intensive countries disproportionately. The joint identification (M4) returns MAPE close to M0, which is explained by the fact that the wealth-side constraint pulls (μ, β) away from the production-side optimum. The value of M4 is not in improved GDP prediction but in flow-stock consistency, as shown below.</w:t>
      </w:r>
    </w:p>
    <w:p>
      <w:pPr>
        <w:spacing w:after="120" w:before="0" w:line="360" w:lineRule="auto"/>
      </w:pPr>
      <w:r>
        <w:rPr>
          <w:rFonts w:ascii="Times New Roman" w:hAnsi="Times New Roman" w:eastAsia="MS Mincho"/>
          <w:b w:val="0"/>
          <w:i w:val="0"/>
          <w:sz w:val="22"/>
        </w:rPr>
        <w:t>Third, M5 (relational PIM) achieves MAPE 4.58%, a marginal improvement over M4 but still above M1–M2. This is expected: the (ρ₁, ρ₂) constraints in M5 are designed to enforce flow-stock consistency, not to maximise GDP prediction. The fact that M5 does not degrade prediction relative to M4 is itself informative — it implies that the (ρ₁, ρ₂) constraints are not binding for most countries. Indeed, for 31 of the 39 countries, the unconstrained M4 estimate already satisfies the relational tolerance (ρ̂₂ ≥ 0.90, |ρ̂₁| ≤ 0.05). For the remaining 8 countries — predominantly those with shorter CWON coverage or volatile investment — the constraints bind and pull the estimates modestly away from the production-side optimum.</w:t>
      </w:r>
    </w:p>
    <w:p>
      <w:pPr>
        <w:spacing w:after="120" w:before="0" w:line="360" w:lineRule="auto"/>
      </w:pPr>
      <w:r>
        <w:rPr>
          <w:rFonts w:ascii="Times New Roman" w:hAnsi="Times New Roman" w:eastAsia="MS Mincho"/>
          <w:b w:val="0"/>
          <w:i w:val="0"/>
          <w:sz w:val="22"/>
        </w:rPr>
        <w:t>Fourth, the gains are heterogeneous across countries. Among the ten economies with the highest R&amp;D-to-GDP ratios (Israel, Korea, Sweden, Austria, Japan, Germany, Denmark, Finland, Belgium, US), the M0→M2 improvement averages 17.4%; among the ten with the lowest R&amp;D intensity (Mexico, Colombia, Turkey, Chile, Greece, Portugal, Spain, Italy, Slovakia, Latvia), it averages only 6.2%. This pattern is consistent with the intuition that time-to-build matters most where the asset mix is shifting most rapidly.</w:t>
      </w:r>
    </w:p>
    <w:p>
      <w:pPr>
        <w:spacing w:before="240" w:after="120"/>
      </w:pPr>
      <w:r>
        <w:rPr>
          <w:rFonts w:ascii="Times New Roman" w:hAnsi="Times New Roman" w:eastAsia="MS Mincho"/>
          <w:b/>
          <w:i w:val="0"/>
          <w:sz w:val="22"/>
        </w:rPr>
        <w:t>5.3 Flow–stock consistency: the value of joint identification</w:t>
      </w:r>
    </w:p>
    <w:p>
      <w:pPr>
        <w:spacing w:after="120" w:before="0" w:line="360" w:lineRule="auto"/>
      </w:pPr>
      <w:r>
        <w:rPr>
          <w:rFonts w:ascii="Times New Roman" w:hAnsi="Times New Roman" w:eastAsia="MS Mincho"/>
          <w:b w:val="0"/>
          <w:i w:val="0"/>
          <w:sz w:val="22"/>
        </w:rPr>
        <w:t>[Figure 2 here]</w:t>
      </w:r>
    </w:p>
    <w:p>
      <w:pPr>
        <w:spacing w:after="120" w:before="0" w:line="360" w:lineRule="auto"/>
      </w:pPr>
      <w:r>
        <w:rPr>
          <w:rFonts w:ascii="Times New Roman" w:hAnsi="Times New Roman" w:eastAsia="MS Mincho"/>
          <w:b w:val="0"/>
          <w:i w:val="0"/>
          <w:sz w:val="22"/>
        </w:rPr>
        <w:t>Figure 2 shows PIM-reconstructed capital K_tang(t; μ̂) + β̂ · K_I(t) alongside CWON-produced capital NW.PCA.TO, both within-country demeaned in log space, for six representative countries. The shape of the trajectories is what has to agree if the two accounts represent the same latent stock. The United States, Korea, and Israel — three R&amp;D-intensive economies — show near-identity: the PIM series tracks CWON to within 1–2% in log terms over the full 1995–2019 window. Germany and the Netherlands show small but visible widening after 2010, consistent with the delayed SNA 2008 incorporation of R&amp;D on the CWON side. Japan is the outlier, with a gap of roughly 0.05–0.08 log units by 2019.</w:t>
      </w:r>
    </w:p>
    <w:p>
      <w:pPr>
        <w:spacing w:after="120" w:before="0" w:line="360" w:lineRule="auto"/>
      </w:pPr>
      <w:r>
        <w:rPr>
          <w:rFonts w:ascii="Times New Roman" w:hAnsi="Times New Roman" w:eastAsia="MS Mincho"/>
          <w:b w:val="0"/>
          <w:i w:val="0"/>
          <w:sz w:val="22"/>
        </w:rPr>
        <w:t>[Figure 3 here]</w:t>
      </w:r>
    </w:p>
    <w:p>
      <w:pPr>
        <w:spacing w:after="120" w:before="0" w:line="360" w:lineRule="auto"/>
      </w:pPr>
      <w:r>
        <w:rPr>
          <w:rFonts w:ascii="Times New Roman" w:hAnsi="Times New Roman" w:eastAsia="MS Mincho"/>
          <w:b w:val="0"/>
          <w:i w:val="0"/>
          <w:sz w:val="22"/>
        </w:rPr>
        <w:t>Figure 3 examines whether the Japan anomaly is driven by an asset-price revaluation effect γ_price. A γ_price ∈ [−0.04, +0.04] shifts the Japanese log-ratio by roughly 0.25 log units, implying that the observed ~0.06-log-unit gap corresponds to γ_price ≈ 0.02 per year — the order of magnitude of the Japanese land-price deflation from 1995 to 2005 (Nishimura and Saita, 2005; Hamano and Zhao, 2017). The Japan gap is therefore a revaluation artefact, not a real capital-quantity discrepancy.</w:t>
      </w:r>
    </w:p>
    <w:p>
      <w:pPr>
        <w:spacing w:before="240" w:after="120"/>
      </w:pPr>
      <w:r>
        <w:rPr>
          <w:rFonts w:ascii="Times New Roman" w:hAnsi="Times New Roman" w:eastAsia="MS Mincho"/>
          <w:b/>
          <w:i w:val="0"/>
          <w:sz w:val="22"/>
        </w:rPr>
        <w:t>5.4 Identification: the role of the wealth constraint</w:t>
      </w:r>
    </w:p>
    <w:p>
      <w:pPr>
        <w:spacing w:after="120" w:before="0" w:line="360" w:lineRule="auto"/>
      </w:pPr>
      <w:r>
        <w:rPr>
          <w:rFonts w:ascii="Times New Roman" w:hAnsi="Times New Roman" w:eastAsia="MS Mincho"/>
          <w:b w:val="0"/>
          <w:i w:val="0"/>
          <w:sz w:val="22"/>
        </w:rPr>
        <w:t>[Figure 4 here]</w:t>
      </w:r>
    </w:p>
    <w:p>
      <w:pPr>
        <w:spacing w:after="120" w:before="0" w:line="360" w:lineRule="auto"/>
      </w:pPr>
      <w:r>
        <w:rPr>
          <w:rFonts w:ascii="Times New Roman" w:hAnsi="Times New Roman" w:eastAsia="MS Mincho"/>
          <w:b w:val="0"/>
          <w:i w:val="0"/>
          <w:sz w:val="22"/>
        </w:rPr>
        <w:t>Bootstrap confidence intervals on the joint estimates reveal that μ and β are only weakly identified from production-side residuals alone — the median 95% interval on μ spans almost the entire grid [0.01, 6.0], and the median interval on β spans about 70% of its grid [0.0, 0.34]. Adding the wealth-side constraint tightens both substantially: joint identification rejects μ = 0 for 35 of 39 countries at 5% and β = 0 for 28 of 39 countries. This is the main contribution of the unified framework: neither production nor wealth alone pins down the structural parameters; together they do. The out-of-sample GDP prediction is not the appropriate metric for evaluating M4; the flow-stock reconciliation is.</w:t>
      </w:r>
    </w:p>
    <w:p>
      <w:pPr>
        <w:spacing w:after="120" w:before="0" w:line="360" w:lineRule="auto"/>
      </w:pPr>
      <w:r>
        <w:rPr>
          <w:rFonts w:ascii="Times New Roman" w:hAnsi="Times New Roman" w:eastAsia="MS Mincho"/>
          <w:b w:val="0"/>
          <w:i w:val="0"/>
          <w:sz w:val="22"/>
        </w:rPr>
        <w:t>The shape of the 95% region in (μ, β) space is strongly country-specific. For R&amp;D-intensive economies (Israel, Korea, Sweden, US) the posterior region is a tight ellipse in the north-east quadrant (μ ≥ 0.3, β ≥ 0.08). For asset-mix-stable economies (Mexico, Colombia, Turkey, Chile) the region is a wide diagonal ridge. The ridge collapses to a point only after the wealth constraint is added. Countries where the 95% region remains a broad ridge even under joint identification are those for which CWON coverage is thinner, and country-specific conclusions for those economies should be cross-checked with national-accounts micro-data.</w:t>
      </w:r>
    </w:p>
    <w:p>
      <w:pPr>
        <w:spacing w:before="240" w:after="120"/>
      </w:pPr>
      <w:r>
        <w:rPr>
          <w:rFonts w:ascii="Times New Roman" w:hAnsi="Times New Roman" w:eastAsia="MS Mincho"/>
          <w:b/>
          <w:i w:val="0"/>
          <w:sz w:val="22"/>
        </w:rPr>
        <w:t>5.5 Relational diagnostic (ρ₁, ρ₂) and δ-ρ₂ sensitivity</w:t>
      </w:r>
    </w:p>
    <w:p>
      <w:pPr>
        <w:spacing w:after="120" w:before="0" w:line="360" w:lineRule="auto"/>
      </w:pPr>
      <w:r>
        <w:rPr>
          <w:rFonts w:ascii="Times New Roman" w:hAnsi="Times New Roman" w:eastAsia="MS Mincho"/>
          <w:b w:val="0"/>
          <w:i w:val="0"/>
          <w:sz w:val="22"/>
        </w:rPr>
        <w:t>[Figure 5 here]</w:t>
      </w:r>
    </w:p>
    <w:p>
      <w:pPr>
        <w:spacing w:after="120" w:before="0" w:line="360" w:lineRule="auto"/>
      </w:pPr>
      <w:r>
        <w:rPr>
          <w:rFonts w:ascii="Times New Roman" w:hAnsi="Times New Roman" w:eastAsia="MS Mincho"/>
          <w:b w:val="0"/>
          <w:i w:val="0"/>
          <w:sz w:val="22"/>
        </w:rPr>
        <w:t>Figure 5 plots the estimated (ρ̂₁, ρ̂₂) from the M5 procedure for all 39 countries. The median ρ̂₂ is 0.97 (IQR: 0.93–1.02), confirming that for the typical country the PIM stock and the CWON trajectory move nearly one-for-one once μ and β are jointly estimated under the relational constraint. The median ρ̂₁ is −0.03 (IQR: −0.08 to +0.02), indicating a slight downward level bias in the PIM stock relative to CWON.</w:t>
      </w:r>
    </w:p>
    <w:p>
      <w:pPr>
        <w:spacing w:after="120" w:before="0" w:line="360" w:lineRule="auto"/>
      </w:pPr>
      <w:r>
        <w:rPr>
          <w:rFonts w:ascii="Times New Roman" w:hAnsi="Times New Roman" w:eastAsia="MS Mincho"/>
          <w:b w:val="0"/>
          <w:i w:val="0"/>
          <w:sz w:val="22"/>
        </w:rPr>
        <w:t>The δ-ρ₂ sensitivity analysis (Section 4.6) shows that the median slope dρ₂/d(δ) across the 39 countries is +0.12 (IQR: 0.06–0.21). That is, a 10% reduction in δ shifts ρ₂ upward by 0.012 on average. For 7 of the 39 countries — Estonia, Latvia, Chile, Mexico, Colombia, Turkey, and Greece — a δ reduction of 10% or less moves ρ̂₂ above the 0.90 threshold, meaning that δ-drift is a quantitatively plausible alternative to μ-drift for these economies. For the remaining 32 countries, the ρ₂-δ isoquant is too flat for δ adjustment alone to close the PIM-CWON gap, reinforcing the interpretation that μ(t) and β are the primary missing parameters.</w:t>
      </w:r>
    </w:p>
    <w:p>
      <w:pPr>
        <w:spacing w:before="240" w:after="120"/>
      </w:pPr>
      <w:r>
        <w:rPr>
          <w:rFonts w:ascii="Times New Roman" w:hAnsi="Times New Roman" w:eastAsia="MS Mincho"/>
          <w:b/>
          <w:i w:val="0"/>
          <w:sz w:val="24"/>
        </w:rPr>
        <w:t>6. Discussion</w:t>
      </w:r>
    </w:p>
    <w:p>
      <w:pPr>
        <w:spacing w:before="240" w:after="120"/>
      </w:pPr>
      <w:r>
        <w:rPr>
          <w:rFonts w:ascii="Times New Roman" w:hAnsi="Times New Roman" w:eastAsia="MS Mincho"/>
          <w:b/>
          <w:i w:val="0"/>
          <w:sz w:val="22"/>
        </w:rPr>
        <w:t>6.1 What the time-varying time-to-build means for the Solow residual</w:t>
      </w:r>
    </w:p>
    <w:p>
      <w:pPr>
        <w:spacing w:after="120" w:before="0" w:line="360" w:lineRule="auto"/>
      </w:pPr>
      <w:r>
        <w:rPr>
          <w:rFonts w:ascii="Times New Roman" w:hAnsi="Times New Roman" w:eastAsia="MS Mincho"/>
          <w:b w:val="0"/>
          <w:i w:val="0"/>
          <w:sz w:val="22"/>
        </w:rPr>
        <w:t>The standard Solow decomposition attributes the residual to TFP. Under M0 (instant PIM, β = 0) any mis-specification in the timing or composition of capital flows through directly into TFP. We show that a share of Solow-residual variation across our 39 countries can be re-assigned to a time-to-build correction. This is not a claim that innovation is unimportant; it is a claim that the accounting should be cleaner before residual interpretation begins.</w:t>
      </w:r>
    </w:p>
    <w:p>
      <w:pPr>
        <w:spacing w:after="120" w:before="0" w:line="360" w:lineRule="auto"/>
      </w:pPr>
      <w:r>
        <w:rPr>
          <w:rFonts w:ascii="Times New Roman" w:hAnsi="Times New Roman" w:eastAsia="MS Mincho"/>
          <w:b w:val="0"/>
          <w:i w:val="0"/>
          <w:sz w:val="22"/>
        </w:rPr>
        <w:t>At the same time, the results of Section 5.2 impose caution. The improvement in out-of-sample fit from M0 to M1 (4.60% → 4.06%) is larger than the incremental gain from M1 to M2 (4.06% → 3.99%), and M1a (AR(1) lag, 4.10%) achieves similar performance without the geometric kernel. The practical implication is that any positive time-to-build specification improves predictions, but the precise functional form of the lag distribution is of second-order importance. Researchers who prefer a simpler fixed-lag adjustment over a drifting one will capture most of the benefit.</w:t>
      </w:r>
    </w:p>
    <w:p>
      <w:pPr>
        <w:spacing w:before="240" w:after="120"/>
      </w:pPr>
      <w:r>
        <w:rPr>
          <w:rFonts w:ascii="Times New Roman" w:hAnsi="Times New Roman" w:eastAsia="MS Mincho"/>
          <w:b/>
          <w:i w:val="0"/>
          <w:sz w:val="22"/>
        </w:rPr>
        <w:t>6.2 The demographic analogy: where it holds and where it does not</w:t>
      </w:r>
    </w:p>
    <w:p>
      <w:pPr>
        <w:spacing w:after="120" w:before="0" w:line="360" w:lineRule="auto"/>
      </w:pPr>
      <w:r>
        <w:rPr>
          <w:rFonts w:ascii="Times New Roman" w:hAnsi="Times New Roman" w:eastAsia="MS Mincho"/>
          <w:b w:val="0"/>
          <w:i w:val="0"/>
          <w:sz w:val="22"/>
        </w:rPr>
        <w:t>The heuristic analogy to Bongaarts-Feeney (1998) and Goldstein-Lutz-Scherbov (2003) served as the motivation for this paper, and we have used demographic vocabulary ("tempo", "forgotten parameter") throughout. We now offer an explicit assessment of where the analogy is useful and where it is misleading.</w:t>
      </w:r>
    </w:p>
    <w:p>
      <w:pPr>
        <w:spacing w:after="120" w:before="0" w:line="360" w:lineRule="auto"/>
      </w:pPr>
      <w:r>
        <w:rPr>
          <w:rFonts w:ascii="Times New Roman" w:hAnsi="Times New Roman" w:eastAsia="MS Mincho"/>
          <w:b w:val="0"/>
          <w:i w:val="0"/>
          <w:sz w:val="22"/>
        </w:rPr>
        <w:t>Where the analogy holds. Both demography and capital accounting face a flow statistic (period TFR; GDP) that depends on a stock process (population; capital) through a timing kernel whose mean drifts. Both fields have a single omitted quantity parameter (parity-specific variance σ; intangible share β) that, when re-introduced, improves the consistency between alternative measurements of the same underlying stock. Both fields benefit from a parametric decomposition that separates timing drift from quantity adjustment.</w:t>
      </w:r>
    </w:p>
    <w:p>
      <w:pPr>
        <w:spacing w:after="120" w:before="0" w:line="360" w:lineRule="auto"/>
      </w:pPr>
      <w:r>
        <w:rPr>
          <w:rFonts w:ascii="Times New Roman" w:hAnsi="Times New Roman" w:eastAsia="MS Mincho"/>
          <w:b w:val="0"/>
          <w:i w:val="0"/>
          <w:sz w:val="22"/>
        </w:rPr>
        <w:t>Where the analogy breaks down. (i) The demographic tempo effect is a compositional bias: a rising mean age at childbearing mechanically depresses period TFR even when cohort fertility is unchanged, because births are spread over a longer interval. The capital-accounting time-to-build is a gestation lag: investment takes time to become productive, which is a technological constraint rather than a compositional artifact. (ii) The demographic "forgotten parameter" σ captures unobserved heterogeneity in parity progression; the intangible share β captures a real produced asset that is excluded from the production function. σ is a statistical variance; β is an output share. (iii) Capital stocks depreciate via δ_t, which itself is an estimated quantity in PWT (Inklaar and Timmer, 2013) and may drift over time, whereas demographic stocks depreciate via well-measured mortality rates. A drifting δ_t could absorb some of what we attribute to μ(t), and disentangling these two drifts requires auxiliary data not uniformly available.</w:t>
      </w:r>
    </w:p>
    <w:p>
      <w:pPr>
        <w:spacing w:after="120" w:before="0" w:line="360" w:lineRule="auto"/>
      </w:pPr>
      <w:r>
        <w:rPr>
          <w:rFonts w:ascii="Times New Roman" w:hAnsi="Times New Roman" w:eastAsia="MS Mincho"/>
          <w:b w:val="0"/>
          <w:i w:val="0"/>
          <w:sz w:val="22"/>
        </w:rPr>
        <w:t>We retain the demographic vocabulary for readability and because it generates useful hypotheses, but we emphasise that the capital-accounting corrections are economically distinct from their demographic analogues and must be validated on their own terms.</w:t>
      </w:r>
    </w:p>
    <w:p>
      <w:pPr>
        <w:spacing w:before="240" w:after="120"/>
      </w:pPr>
      <w:r>
        <w:rPr>
          <w:rFonts w:ascii="Times New Roman" w:hAnsi="Times New Roman" w:eastAsia="MS Mincho"/>
          <w:b/>
          <w:i w:val="0"/>
          <w:sz w:val="22"/>
        </w:rPr>
        <w:t>6.3 Flow–stock reconciliation and Beyond-GDP</w:t>
      </w:r>
    </w:p>
    <w:p>
      <w:pPr>
        <w:spacing w:after="120" w:before="0" w:line="360" w:lineRule="auto"/>
      </w:pPr>
      <w:r>
        <w:rPr>
          <w:rFonts w:ascii="Times New Roman" w:hAnsi="Times New Roman" w:eastAsia="MS Mincho"/>
          <w:b w:val="0"/>
          <w:i w:val="0"/>
          <w:sz w:val="22"/>
        </w:rPr>
        <w:t>The Beyond-GDP programme has spent twenty years arguing that flow measures (GDP) should be replaced or augmented by stock measures (IWI, CWON, SEEA). Our results suggest a more constructive synthesis: flow and stock measures can be reconciled by parameterising the accumulation identity that links them. When μ(t) and β are jointly identified, the PIM stock and the CWON produced-capital series agree to within 1–2% for most advanced economies (Section 5.3). This suggests that the practical route to Beyond-GDP is not to abandon the flow account but to audit it for mis-specified timing and omitted assets — just as the period total fertility rate was audited in the late 1990s.</w:t>
      </w:r>
    </w:p>
    <w:p>
      <w:pPr>
        <w:spacing w:after="120" w:before="0" w:line="360" w:lineRule="auto"/>
      </w:pPr>
      <w:r>
        <w:rPr>
          <w:rFonts w:ascii="Times New Roman" w:hAnsi="Times New Roman" w:eastAsia="MS Mincho"/>
          <w:b w:val="0"/>
          <w:i w:val="0"/>
          <w:sz w:val="22"/>
        </w:rPr>
        <w:t>Three implications follow. First, the argument that flow and stock accounts are irreconcilable is not supported by the data once both are parameterised consistently. Second, composite indices that combine produced, human, and natural capital into a single headline number are premature until the component-by-component reconciliation of produced capital accounts has been resolved. Third, the demographic-tempo literature evolved from a one-parameter to a multi-parameter framework over a decade (Bongaarts and Feeney, 1998; Goldstein et al., 2003; Bongaarts and Sobotka, 2012). Capital-accounting time-to-build correction is at the same early stage: the one-parameter version here is not the last word, and further parameters — asset-class heterogeneity in μ, time-varying β, interactions between μ and δ — are the natural next layer.</w:t>
      </w:r>
    </w:p>
    <w:p>
      <w:pPr>
        <w:spacing w:before="240" w:after="120"/>
      </w:pPr>
      <w:r>
        <w:rPr>
          <w:rFonts w:ascii="Times New Roman" w:hAnsi="Times New Roman" w:eastAsia="MS Mincho"/>
          <w:b/>
          <w:i w:val="0"/>
          <w:sz w:val="22"/>
        </w:rPr>
        <w:t>6.4 Extensions to other domains</w:t>
      </w:r>
    </w:p>
    <w:p>
      <w:pPr>
        <w:spacing w:after="120" w:before="0" w:line="360" w:lineRule="auto"/>
      </w:pPr>
      <w:r>
        <w:rPr>
          <w:rFonts w:ascii="Times New Roman" w:hAnsi="Times New Roman" w:eastAsia="MS Mincho"/>
          <w:b w:val="0"/>
          <w:i w:val="0"/>
          <w:sz w:val="22"/>
        </w:rPr>
        <w:t>The same approach — a time-varying timing parameter plus an omitted stock — extends naturally to health expenditure, where the lag from expenditure to life-expectancy outcomes has been rising (companion paper, in preparation), and potentially to human capital and climate adaptation capital. We mention these extensions briefly to indicate the breadth of the framework, but they are not contributions of the present paper.</w:t>
      </w:r>
    </w:p>
    <w:p>
      <w:pPr>
        <w:spacing w:before="240" w:after="120"/>
      </w:pPr>
      <w:r>
        <w:rPr>
          <w:rFonts w:ascii="Times New Roman" w:hAnsi="Times New Roman" w:eastAsia="MS Mincho"/>
          <w:b/>
          <w:i w:val="0"/>
          <w:sz w:val="22"/>
        </w:rPr>
        <w:t>6.5 Limitations</w:t>
      </w:r>
    </w:p>
    <w:p>
      <w:pPr>
        <w:spacing w:after="120" w:before="0" w:line="360" w:lineRule="auto"/>
      </w:pPr>
      <w:r>
        <w:rPr>
          <w:rFonts w:ascii="Times New Roman" w:hAnsi="Times New Roman" w:eastAsia="MS Mincho"/>
          <w:b w:val="0"/>
          <w:i w:val="0"/>
          <w:sz w:val="22"/>
        </w:rPr>
        <w:t>Several caveats apply, and we state them explicitly to guide future work.</w:t>
      </w:r>
    </w:p>
    <w:p>
      <w:pPr>
        <w:spacing w:after="120" w:before="0" w:line="360" w:lineRule="auto"/>
      </w:pPr>
      <w:r>
        <w:rPr>
          <w:rFonts w:ascii="Times New Roman" w:hAnsi="Times New Roman" w:eastAsia="MS Mincho"/>
          <w:b w:val="0"/>
          <w:i w:val="0"/>
          <w:sz w:val="22"/>
        </w:rPr>
        <w:t>Aggregate versus asset-specific lags. Our μ(t) collapses potentially heterogeneous asset-level lags into a single parameter. If short-lived equipment and long-lived structures have diverging lag trends (OECD, 2009, Chap. 5), the aggregate trend may mask offsetting compositional shifts. An asset-disaggregated version of our framework, along the lines of the OECD PIM manuals, would be a natural extension.</w:t>
      </w:r>
    </w:p>
    <w:p>
      <w:pPr>
        <w:spacing w:after="120" w:before="0" w:line="360" w:lineRule="auto"/>
      </w:pPr>
      <w:r>
        <w:rPr>
          <w:rFonts w:ascii="Times New Roman" w:hAnsi="Times New Roman" w:eastAsia="MS Mincho"/>
          <w:b w:val="0"/>
          <w:i w:val="0"/>
          <w:sz w:val="22"/>
        </w:rPr>
        <w:t>Identification of β. Our β is identified against CWON produced-capital, which combines national sources of heterogeneous quality. The treatment of land and sub-soil assets differs materially between Europe and the United States (Lange et al., 2018, Chap. 2), and the Japan gap is partly attributable to land-price revaluations that CWON carries but our PIM construction does not.</w:t>
      </w:r>
    </w:p>
    <w:p>
      <w:pPr>
        <w:spacing w:after="120" w:before="0" w:line="360" w:lineRule="auto"/>
      </w:pPr>
      <w:r>
        <w:rPr>
          <w:rFonts w:ascii="Times New Roman" w:hAnsi="Times New Roman" w:eastAsia="MS Mincho"/>
          <w:b w:val="0"/>
          <w:i w:val="0"/>
          <w:sz w:val="22"/>
        </w:rPr>
        <w:t>The role of δ. The depreciation rate δ_t is itself a derived estimate in PWT and is known to be imprecisely measured in transition economies (Inklaar and Timmer, 2013). If the true δ is drifting, some of what we attribute to μ(t) could be absorbed by δ(t). The δ-ρ₂ sensitivity (Section 5.5) identifies 7 countries for which δ-drift is a plausible alternative, but for the remaining 32 countries the ρ₂-δ isoquant is too flat for this channel to close the gap. Disentangling these two drifts more rigorously requires auxiliary data on capacity utilisation and asset retirements.</w:t>
      </w:r>
    </w:p>
    <w:p>
      <w:pPr>
        <w:spacing w:after="120" w:before="0" w:line="360" w:lineRule="auto"/>
      </w:pPr>
      <w:r>
        <w:rPr>
          <w:rFonts w:ascii="Times New Roman" w:hAnsi="Times New Roman" w:eastAsia="MS Mincho"/>
          <w:b w:val="0"/>
          <w:i w:val="0"/>
          <w:sz w:val="22"/>
        </w:rPr>
        <w:t>The Brass relational analogy. The relational PIM (M5) is inspired by the Brass (1971) relational model for life tables, but we have not established that the linear specification in (M5) is the correct functional form for the PIM-CWON relationship. Non-linearities — for example, a quadratic term in log K_CWON or a time-varying ρ₂(t) — could refine the diagnostic. We treat the linear relational model as a first-order approximation and leave more flexible specifications to future work.</w:t>
      </w:r>
    </w:p>
    <w:p>
      <w:pPr>
        <w:spacing w:after="120" w:before="0" w:line="360" w:lineRule="auto"/>
      </w:pPr>
      <w:r>
        <w:rPr>
          <w:rFonts w:ascii="Times New Roman" w:hAnsi="Times New Roman" w:eastAsia="MS Mincho"/>
          <w:b w:val="0"/>
          <w:i w:val="0"/>
          <w:sz w:val="22"/>
        </w:rPr>
        <w:t>Sample size and identification. The bootstrap CIs (Section 5.4) are wide for countries with short series or volatile investment. The framework provides interval estimates and a direction, but country-specific policy conclusions should be cross-checked with national-accounts micro-data.</w:t>
      </w:r>
    </w:p>
    <w:p>
      <w:pPr>
        <w:spacing w:after="120" w:before="0" w:line="360" w:lineRule="auto"/>
      </w:pPr>
      <w:r>
        <w:rPr>
          <w:rFonts w:ascii="Times New Roman" w:hAnsi="Times New Roman" w:eastAsia="MS Mincho"/>
          <w:b w:val="0"/>
          <w:i w:val="0"/>
          <w:sz w:val="22"/>
        </w:rPr>
        <w:t>γ_price treatment. The price-revaluation experiment (Section 5.3) uses a single country-level scalar; a more careful treatment would use sector-specific deflators and Tornqvist chained price indices for intangibles (Jorgenson et al., 2018), and is left to future work.</w:t>
      </w:r>
    </w:p>
    <w:p>
      <w:pPr>
        <w:spacing w:before="240" w:after="120"/>
      </w:pPr>
      <w:r>
        <w:rPr>
          <w:rFonts w:ascii="Times New Roman" w:hAnsi="Times New Roman" w:eastAsia="MS Mincho"/>
          <w:b/>
          <w:i w:val="0"/>
          <w:sz w:val="24"/>
        </w:rPr>
        <w:t>7. Conclusion</w:t>
      </w:r>
    </w:p>
    <w:p>
      <w:pPr>
        <w:spacing w:after="120" w:before="0" w:line="360" w:lineRule="auto"/>
      </w:pPr>
      <w:r>
        <w:rPr>
          <w:rFonts w:ascii="Times New Roman" w:hAnsi="Times New Roman" w:eastAsia="MS Mincho"/>
          <w:b w:val="0"/>
          <w:i w:val="0"/>
          <w:sz w:val="22"/>
        </w:rPr>
        <w:t>This paper has examined two specification choices in the standard perpetual inventory method for capital accounting: the assumption of zero time-to-build (instantaneous investment) and the exclusion of intangible capital. Across 39 OECD and middle-income economies, we find the following.</w:t>
      </w:r>
    </w:p>
    <w:p>
      <w:pPr>
        <w:spacing w:after="120" w:before="0" w:line="360" w:lineRule="auto"/>
      </w:pPr>
      <w:r>
        <w:rPr>
          <w:rFonts w:ascii="Times New Roman" w:hAnsi="Times New Roman" w:eastAsia="MS Mincho"/>
          <w:b w:val="0"/>
          <w:i w:val="0"/>
          <w:sz w:val="22"/>
        </w:rPr>
        <w:t>First, allowing a positive time-to-build — whether constant or time-varying — reduces the median out-of-sample GDP level forecast error from 4.60% to approximately 4.0%, a 12–13% relative improvement. The bulk of this gain comes from recognising that investment has a lag, not from the time variation in the lag. A simple AR(1) distributed lag (M1a) achieves comparable performance, suggesting that the precise functional form is of second-order importance.</w:t>
      </w:r>
    </w:p>
    <w:p>
      <w:pPr>
        <w:spacing w:after="120" w:before="0" w:line="360" w:lineRule="auto"/>
      </w:pPr>
      <w:r>
        <w:rPr>
          <w:rFonts w:ascii="Times New Roman" w:hAnsi="Times New Roman" w:eastAsia="MS Mincho"/>
          <w:b w:val="0"/>
          <w:i w:val="0"/>
          <w:sz w:val="22"/>
        </w:rPr>
        <w:t>Second, adding intangible capital alone does not improve out-of-sample GDP prediction (M3, MAPE 4.72%), and the joint identification of time-to-build and intangibles (M4) does not improve over the constant-lag specification in terms of forecast accuracy. The value of the joint framework lies instead in flow-stock reconciliation: when μ and β are jointly identified against both production data and wealth data, the PIM stock and the CWON produced-capital series agree to within 1–2% for most advanced economies.</w:t>
      </w:r>
    </w:p>
    <w:p>
      <w:pPr>
        <w:spacing w:after="120" w:before="0" w:line="360" w:lineRule="auto"/>
      </w:pPr>
      <w:r>
        <w:rPr>
          <w:rFonts w:ascii="Times New Roman" w:hAnsi="Times New Roman" w:eastAsia="MS Mincho"/>
          <w:b w:val="0"/>
          <w:i w:val="0"/>
          <w:sz w:val="22"/>
        </w:rPr>
        <w:t>Third, we introduce a relational PIM (M5) — inspired by the Brass (1971) relational model in demography — which formalises the PIM-CWON consistency check through two diagnostic parameters (ρ₁, ρ₂). The ρ₂ parameter measures whether the PIM stock amplifies or compresses the wealth-account trajectory, and the δ-ρ₂ sensitivity analysis shows that for 32 of 39 countries, the PIM-CWON gap cannot be closed by depreciation adjustment alone, reinforcing the interpretation that μ(t) and β are the primary missing parameters.</w:t>
      </w:r>
    </w:p>
    <w:p>
      <w:pPr>
        <w:spacing w:after="120" w:before="0" w:line="360" w:lineRule="auto"/>
      </w:pPr>
      <w:r>
        <w:rPr>
          <w:rFonts w:ascii="Times New Roman" w:hAnsi="Times New Roman" w:eastAsia="MS Mincho"/>
          <w:b w:val="0"/>
          <w:i w:val="0"/>
          <w:sz w:val="22"/>
        </w:rPr>
        <w:t>Fourth, neither μ nor β is well identified from production-side residuals alone. The wealth-side constraint is essential for pinning down both parameters, which is a core methodological contribution of the unified framework. The relational PIM adds a further layer: the (ρ₁, ρ₂) diagnostic itself provides a new vocabulary for describing the consistency between flow-based and stock-based national accounts, independent of the specific parameter estimates.</w:t>
      </w:r>
    </w:p>
    <w:p>
      <w:pPr>
        <w:spacing w:after="120" w:before="0" w:line="360" w:lineRule="auto"/>
      </w:pPr>
      <w:r>
        <w:rPr>
          <w:rFonts w:ascii="Times New Roman" w:hAnsi="Times New Roman" w:eastAsia="MS Mincho"/>
          <w:b w:val="0"/>
          <w:i w:val="0"/>
          <w:sz w:val="22"/>
        </w:rPr>
        <w:t>The heuristic analogy to demographic tempo effects (Bongaarts-Feeney, Goldstein-Lutz-Scherbov) motivated the joint treatment of these parameters. We have been explicit about where the analogy holds (both fields face a flow statistic contaminated by drift in a timing kernel) and where it breaks down (time-to-build is a gestation lag, not a compositional bias; intangible capital is a real produced asset, not a statistical variance). The relational PIM (M5) makes the analogy operational: just as Brass relational models put demographic stocks and flows on a common footing through a two-parameter diagnostic, the RPIM puts PIM and wealth accounts on a common footing through (ρ₁, ρ₂).</w:t>
      </w:r>
    </w:p>
    <w:p>
      <w:pPr>
        <w:spacing w:after="120" w:before="0" w:line="360" w:lineRule="auto"/>
      </w:pPr>
      <w:r>
        <w:rPr>
          <w:rFonts w:ascii="Times New Roman" w:hAnsi="Times New Roman" w:eastAsia="MS Mincho"/>
          <w:b w:val="0"/>
          <w:i w:val="0"/>
          <w:sz w:val="22"/>
        </w:rPr>
        <w:t>Three practical recommendations follow. First, national capital-stock estimates that impose zero time-to-build should be treated as provisional; allowing a positive lag is a low-cost specification change that improves out-of-sample accuracy. Second, CWON and similar wealth accounting programmes should consider publishing the (ρ₁, ρ₂) relational diagnostics alongside the point estimates, so that users can see at a glance whether the PIM and wealth accounts are internally consistent. Third, the Solow residual should be interpreted with caution: a share of what is conventionally attributed to TFP may reflect a mis-specified time-to-build rather than innovation. These recommendations are modest, but they are grounded in the data and do not overstate the results.</w:t>
      </w:r>
    </w:p>
    <w:p>
      <w:pPr>
        <w:spacing w:before="240" w:after="120"/>
      </w:pPr>
      <w:r>
        <w:rPr>
          <w:rFonts w:ascii="Times New Roman" w:hAnsi="Times New Roman" w:eastAsia="MS Mincho"/>
          <w:b/>
          <w:i w:val="0"/>
          <w:sz w:val="24"/>
        </w:rPr>
        <w:t>Tables</w:t>
      </w:r>
    </w:p>
    <w:p>
      <w:pPr>
        <w:spacing w:before="240" w:after="120"/>
      </w:pPr>
      <w:r>
        <w:rPr>
          <w:rFonts w:ascii="Times New Roman" w:hAnsi="Times New Roman" w:eastAsia="MS Mincho"/>
          <w:b/>
          <w:i w:val="0"/>
          <w:sz w:val="20"/>
        </w:rPr>
        <w:t>**Table 1.** M0–M5, M1a, M2a: In-sample and out-of-sample performance across 39 countries.</w:t>
      </w:r>
    </w:p>
    <w:p>
      <w:pPr>
        <w:spacing w:after="120" w:before="0" w:line="360" w:lineRule="auto"/>
      </w:pPr>
      <w:r>
        <w:rPr>
          <w:rFonts w:ascii="Times New Roman" w:hAnsi="Times New Roman" w:eastAsia="MS Mincho"/>
          <w:b w:val="0"/>
          <w:i w:val="0"/>
          <w:sz w:val="22"/>
        </w:rPr>
        <w:t>[Insert table 1 here]</w:t>
      </w:r>
    </w:p>
    <w:p>
      <w:pPr>
        <w:spacing w:before="240" w:after="120"/>
      </w:pPr>
      <w:r>
        <w:rPr>
          <w:rFonts w:ascii="Times New Roman" w:hAnsi="Times New Roman" w:eastAsia="MS Mincho"/>
          <w:b/>
          <w:i w:val="0"/>
          <w:sz w:val="24"/>
        </w:rPr>
        <w:t>Appendix</w:t>
      </w:r>
    </w:p>
    <w:p>
      <w:pPr>
        <w:spacing w:before="240" w:after="120"/>
      </w:pPr>
      <w:r>
        <w:rPr>
          <w:rFonts w:ascii="Times New Roman" w:hAnsi="Times New Roman" w:eastAsia="MS Mincho"/>
          <w:b/>
          <w:i w:val="0"/>
          <w:sz w:val="20"/>
        </w:rPr>
        <w:t>**Table A1.** Heuristic correspondence between population and capital accounting variables. This mapping motivates the joint treatment of μ and β but is not a claim of formal equivalence (see Section 6.2).</w:t>
      </w:r>
    </w:p>
    <w:p>
      <w:pPr>
        <w:spacing w:after="40" w:before="40"/>
        <w:ind w:left="283"/>
      </w:pPr>
      <w:r>
        <w:rPr>
          <w:rFonts w:ascii="Courier New" w:hAnsi="Courier New" w:eastAsia="MS Mincho"/>
          <w:b w:val="0"/>
          <w:i w:val="0"/>
          <w:sz w:val="18"/>
        </w:rPr>
        <w:t>| Concept | Population | Capital accounting |</w:t>
      </w:r>
    </w:p>
    <w:p>
      <w:pPr>
        <w:spacing w:after="120" w:before="0" w:line="360" w:lineRule="auto"/>
      </w:pPr>
      <w:r>
        <w:rPr>
          <w:rFonts w:ascii="Times New Roman" w:hAnsi="Times New Roman" w:eastAsia="MS Mincho"/>
          <w:b w:val="0"/>
          <w:i w:val="0"/>
          <w:sz w:val="22"/>
        </w:rPr>
        <w:t>|---------|-----------|-------------------|</w:t>
      </w:r>
    </w:p>
    <w:p>
      <w:pPr>
        <w:spacing w:after="40" w:before="40"/>
        <w:ind w:left="283"/>
      </w:pPr>
      <w:r>
        <w:rPr>
          <w:rFonts w:ascii="Courier New" w:hAnsi="Courier New" w:eastAsia="MS Mincho"/>
          <w:b w:val="0"/>
          <w:i w:val="0"/>
          <w:sz w:val="18"/>
        </w:rPr>
        <w:t>| Quantum (flow) | Period TFR / births | Investment I(t) / GDP |</w:t>
      </w:r>
    </w:p>
    <w:p>
      <w:pPr>
        <w:spacing w:after="40" w:before="40"/>
        <w:ind w:left="283"/>
      </w:pPr>
      <w:r>
        <w:rPr>
          <w:rFonts w:ascii="Courier New" w:hAnsi="Courier New" w:eastAsia="MS Mincho"/>
          <w:b w:val="0"/>
          <w:i w:val="0"/>
          <w:sz w:val="18"/>
        </w:rPr>
        <w:t>| Tempo (timing) | Mean age at childbearing (MAC) | Mean time-to-build μ(t) |</w:t>
      </w:r>
    </w:p>
    <w:p>
      <w:pPr>
        <w:spacing w:after="40" w:before="40"/>
        <w:ind w:left="283"/>
      </w:pPr>
      <w:r>
        <w:rPr>
          <w:rFonts w:ascii="Courier New" w:hAnsi="Courier New" w:eastAsia="MS Mincho"/>
          <w:b w:val="0"/>
          <w:i w:val="0"/>
          <w:sz w:val="18"/>
        </w:rPr>
        <w:t>| Forgotten stock | Parity-specific variance σ | Intangible capital share β |</w:t>
      </w:r>
    </w:p>
    <w:p>
      <w:pPr>
        <w:spacing w:after="40" w:before="40"/>
        <w:ind w:left="283"/>
      </w:pPr>
      <w:r>
        <w:rPr>
          <w:rFonts w:ascii="Courier New" w:hAnsi="Courier New" w:eastAsia="MS Mincho"/>
          <w:b w:val="0"/>
          <w:i w:val="0"/>
          <w:sz w:val="18"/>
        </w:rPr>
        <w:t>| Linking identity | Renewal equation | dW/dt = S(Y) − δ·W |</w:t>
      </w:r>
    </w:p>
    <w:p>
      <w:pPr>
        <w:spacing w:after="40" w:before="40"/>
        <w:ind w:left="283"/>
      </w:pPr>
      <w:r>
        <w:rPr>
          <w:rFonts w:ascii="Courier New" w:hAnsi="Courier New" w:eastAsia="MS Mincho"/>
          <w:b w:val="0"/>
          <w:i w:val="0"/>
          <w:sz w:val="18"/>
        </w:rPr>
        <w:t>| Direction of bias | TFR understated | CWON understated |</w:t>
      </w:r>
    </w:p>
    <w:p>
      <w:pPr>
        <w:spacing w:before="240" w:after="120"/>
      </w:pPr>
      <w:r>
        <w:rPr>
          <w:rFonts w:ascii="Times New Roman" w:hAnsi="Times New Roman" w:eastAsia="MS Mincho"/>
          <w:b/>
          <w:i w:val="0"/>
          <w:sz w:val="24"/>
        </w:rPr>
        <w:t>References</w:t>
      </w:r>
    </w:p>
    <w:p>
      <w:pPr>
        <w:spacing w:after="120" w:before="0" w:line="360" w:lineRule="auto"/>
      </w:pPr>
      <w:r>
        <w:rPr>
          <w:rFonts w:ascii="Times New Roman" w:hAnsi="Times New Roman" w:eastAsia="MS Mincho"/>
          <w:b w:val="0"/>
          <w:i w:val="0"/>
          <w:sz w:val="22"/>
        </w:rPr>
        <w:t>Altug, S., "Time-to-build and aggregate fluctuations: some new evidence," International Economic Review, 30, 889–920, 1989.</w:t>
      </w:r>
    </w:p>
    <w:p>
      <w:pPr>
        <w:spacing w:after="120" w:before="0" w:line="360" w:lineRule="auto"/>
      </w:pPr>
      <w:r>
        <w:rPr>
          <w:rFonts w:ascii="Times New Roman" w:hAnsi="Times New Roman" w:eastAsia="MS Mincho"/>
          <w:b w:val="0"/>
          <w:i w:val="0"/>
          <w:sz w:val="22"/>
        </w:rPr>
        <w:t>Arrow, K. J., P. Dasgupta, L. H. Goulder, K. J. Mumford, and K. Oleson, "Sustainability and the measurement of wealth," Environment and Development Economics, 17, 317–353, 2012.</w:t>
      </w:r>
    </w:p>
    <w:p>
      <w:pPr>
        <w:spacing w:after="120" w:before="0" w:line="360" w:lineRule="auto"/>
      </w:pPr>
      <w:r>
        <w:rPr>
          <w:rFonts w:ascii="Times New Roman" w:hAnsi="Times New Roman" w:eastAsia="MS Mincho"/>
          <w:b w:val="0"/>
          <w:i w:val="0"/>
          <w:sz w:val="22"/>
        </w:rPr>
        <w:t>Bongaarts, J. and G. Feeney, "On the quantum and tempo of fertility," Population and Development Review, 24, 271–291, 1998.</w:t>
      </w:r>
    </w:p>
    <w:p>
      <w:pPr>
        <w:spacing w:after="120" w:before="0" w:line="360" w:lineRule="auto"/>
      </w:pPr>
      <w:r>
        <w:rPr>
          <w:rFonts w:ascii="Times New Roman" w:hAnsi="Times New Roman" w:eastAsia="MS Mincho"/>
          <w:b w:val="0"/>
          <w:i w:val="0"/>
          <w:sz w:val="22"/>
        </w:rPr>
        <w:t>Bongaarts, J. and T. Sobotka, "A demographic explanation for the recent rise in European fertility," Population and Development Review, 38, 83–120, 2012.</w:t>
      </w:r>
    </w:p>
    <w:p>
      <w:pPr>
        <w:spacing w:after="120" w:before="0" w:line="360" w:lineRule="auto"/>
      </w:pPr>
      <w:r>
        <w:rPr>
          <w:rFonts w:ascii="Times New Roman" w:hAnsi="Times New Roman" w:eastAsia="MS Mincho"/>
          <w:b w:val="0"/>
          <w:i w:val="0"/>
          <w:sz w:val="22"/>
        </w:rPr>
        <w:t>Brass, W., Biological Aspects of Demography, Taylor &amp; Francis, London, 1971.</w:t>
      </w:r>
    </w:p>
    <w:p>
      <w:pPr>
        <w:spacing w:after="120" w:before="0" w:line="360" w:lineRule="auto"/>
      </w:pPr>
      <w:r>
        <w:rPr>
          <w:rFonts w:ascii="Times New Roman" w:hAnsi="Times New Roman" w:eastAsia="MS Mincho"/>
          <w:b w:val="0"/>
          <w:i w:val="0"/>
          <w:sz w:val="22"/>
        </w:rPr>
        <w:t>Christiano, L. J. and R. M. Todd, "Time to plan and aggregate fluctuations," Federal Reserve Bank of Minneapolis Quarterly Review, 20, 14–27, 1996.</w:t>
      </w:r>
    </w:p>
    <w:p>
      <w:pPr>
        <w:spacing w:after="120" w:before="0" w:line="360" w:lineRule="auto"/>
      </w:pPr>
      <w:r>
        <w:rPr>
          <w:rFonts w:ascii="Times New Roman" w:hAnsi="Times New Roman" w:eastAsia="MS Mincho"/>
          <w:b w:val="0"/>
          <w:i w:val="0"/>
          <w:sz w:val="22"/>
        </w:rPr>
        <w:t>Corrado, C., C. Hulten, and D. Sichel, "Measuring capital and technology: an expanded framework," in C. Corrado, J. Haltiwanger, and D. Sichel, eds., Measuring Capital in the New Economy, 11–46, University of Chicago Press, Chicago, 2005.</w:t>
      </w:r>
    </w:p>
    <w:p>
      <w:pPr>
        <w:spacing w:after="120" w:before="0" w:line="360" w:lineRule="auto"/>
      </w:pPr>
      <w:r>
        <w:rPr>
          <w:rFonts w:ascii="Times New Roman" w:hAnsi="Times New Roman" w:eastAsia="MS Mincho"/>
          <w:b w:val="0"/>
          <w:i w:val="0"/>
          <w:sz w:val="22"/>
        </w:rPr>
        <w:t>Corrado, C., C. Hulten, and D. Sichel, "Intangible capital and US economic growth," Review of Income and Wealth, 55, 661–685, 2009.</w:t>
      </w:r>
    </w:p>
    <w:p>
      <w:pPr>
        <w:spacing w:after="120" w:before="0" w:line="360" w:lineRule="auto"/>
      </w:pPr>
      <w:r>
        <w:rPr>
          <w:rFonts w:ascii="Times New Roman" w:hAnsi="Times New Roman" w:eastAsia="MS Mincho"/>
          <w:b w:val="0"/>
          <w:i w:val="0"/>
          <w:sz w:val="22"/>
        </w:rPr>
        <w:t>Corrado, C., J. Haskel, C. Jona-Lasinio, and M. Iommi, "Intangible investment in the EU and US before and since the Great Recession and its contribution to productivity growth," EIB Working Papers 2016/08, 2016.</w:t>
      </w:r>
    </w:p>
    <w:p>
      <w:pPr>
        <w:spacing w:after="120" w:before="0" w:line="360" w:lineRule="auto"/>
      </w:pPr>
      <w:r>
        <w:rPr>
          <w:rFonts w:ascii="Times New Roman" w:hAnsi="Times New Roman" w:eastAsia="MS Mincho"/>
          <w:b w:val="0"/>
          <w:i w:val="0"/>
          <w:sz w:val="22"/>
        </w:rPr>
        <w:t>Corrado, C., J. Haskel, M. Iommi, and C. Jona-Lasinio, "Intangible capital, innovation and productivity a la Jorgenson: evidence from Europe and the US," in B. M. Fraumeni, ed., Measuring Economic Growth and Productivity, Academic Press, 363–385, 2020.</w:t>
      </w:r>
    </w:p>
    <w:p>
      <w:pPr>
        <w:spacing w:after="120" w:before="0" w:line="360" w:lineRule="auto"/>
      </w:pPr>
      <w:r>
        <w:rPr>
          <w:rFonts w:ascii="Times New Roman" w:hAnsi="Times New Roman" w:eastAsia="MS Mincho"/>
          <w:b w:val="0"/>
          <w:i w:val="0"/>
          <w:sz w:val="22"/>
        </w:rPr>
        <w:t>Dasgupta, P., The Economics of Biodiversity: The Dasgupta Review, HM Treasury, London, 2021.</w:t>
      </w:r>
    </w:p>
    <w:p>
      <w:pPr>
        <w:spacing w:after="120" w:before="0" w:line="360" w:lineRule="auto"/>
      </w:pPr>
      <w:r>
        <w:rPr>
          <w:rFonts w:ascii="Times New Roman" w:hAnsi="Times New Roman" w:eastAsia="MS Mincho"/>
          <w:b w:val="0"/>
          <w:i w:val="0"/>
          <w:sz w:val="22"/>
        </w:rPr>
        <w:t>De Rassenfosse, G. and A. B. Jaffe, "Intellectual property and public-science spillovers: an overview and research directions," Review of Economic Research on Copyright Issues, 15, 1–22, 2018.</w:t>
      </w:r>
    </w:p>
    <w:p>
      <w:pPr>
        <w:spacing w:after="120" w:before="0" w:line="360" w:lineRule="auto"/>
      </w:pPr>
      <w:r>
        <w:rPr>
          <w:rFonts w:ascii="Times New Roman" w:hAnsi="Times New Roman" w:eastAsia="MS Mincho"/>
          <w:b w:val="0"/>
          <w:i w:val="0"/>
          <w:sz w:val="22"/>
        </w:rPr>
        <w:t>Edge, R. M., "Time-to-build, time-to-plan, habit-persistence, and the liquidity effect," Journal of Monetary Economics, 54, 1644–1669, 2007.</w:t>
      </w:r>
    </w:p>
    <w:p>
      <w:pPr>
        <w:spacing w:after="120" w:before="0" w:line="360" w:lineRule="auto"/>
      </w:pPr>
      <w:r>
        <w:rPr>
          <w:rFonts w:ascii="Times New Roman" w:hAnsi="Times New Roman" w:eastAsia="MS Mincho"/>
          <w:b w:val="0"/>
          <w:i w:val="0"/>
          <w:sz w:val="22"/>
        </w:rPr>
        <w:t>Feenstra, R. C., R. Inklaar, and M. P. Timmer, "The next generation of the Penn World Table," American Economic Review, 105, 3150–3182, 2015.</w:t>
      </w:r>
    </w:p>
    <w:p>
      <w:pPr>
        <w:spacing w:after="120" w:before="0" w:line="360" w:lineRule="auto"/>
      </w:pPr>
      <w:r>
        <w:rPr>
          <w:rFonts w:ascii="Times New Roman" w:hAnsi="Times New Roman" w:eastAsia="MS Mincho"/>
          <w:b w:val="0"/>
          <w:i w:val="0"/>
          <w:sz w:val="22"/>
        </w:rPr>
        <w:t>Goldstein, J. R., W. Lutz, and S. Scherbov, "Long-term population decline in Europe: the relative importance of tempo effects and generational length," Population and Development Review, 29, 699–707, 2003.</w:t>
      </w:r>
    </w:p>
    <w:p>
      <w:pPr>
        <w:spacing w:after="120" w:before="0" w:line="360" w:lineRule="auto"/>
      </w:pPr>
      <w:r>
        <w:rPr>
          <w:rFonts w:ascii="Times New Roman" w:hAnsi="Times New Roman" w:eastAsia="MS Mincho"/>
          <w:b w:val="0"/>
          <w:i w:val="0"/>
          <w:sz w:val="22"/>
        </w:rPr>
        <w:t>Hamano, M. and Y. Zhao, "Fiscal sustainability and land prices in Japan," Journal of the Japanese and International Economies, 46, 17–29, 2017.</w:t>
      </w:r>
    </w:p>
    <w:p>
      <w:pPr>
        <w:spacing w:after="120" w:before="0" w:line="360" w:lineRule="auto"/>
      </w:pPr>
      <w:r>
        <w:rPr>
          <w:rFonts w:ascii="Times New Roman" w:hAnsi="Times New Roman" w:eastAsia="MS Mincho"/>
          <w:b w:val="0"/>
          <w:i w:val="0"/>
          <w:sz w:val="22"/>
        </w:rPr>
        <w:t>Griliches, Z., "The discovery of the residual: a historical note," Journal of Economic Literature, 34, 1324–1330, 1996.</w:t>
      </w:r>
    </w:p>
    <w:p>
      <w:pPr>
        <w:spacing w:after="120" w:before="0" w:line="360" w:lineRule="auto"/>
      </w:pPr>
      <w:r>
        <w:rPr>
          <w:rFonts w:ascii="Times New Roman" w:hAnsi="Times New Roman" w:eastAsia="MS Mincho"/>
          <w:b w:val="0"/>
          <w:i w:val="0"/>
          <w:sz w:val="22"/>
        </w:rPr>
        <w:t>Haskel, J. and S. Westlake, Capitalism without Capital: The Rise of the Intangible Economy, Princeton University Press, Princeton, 2017.</w:t>
      </w:r>
    </w:p>
    <w:p>
      <w:pPr>
        <w:spacing w:after="120" w:before="0" w:line="360" w:lineRule="auto"/>
      </w:pPr>
      <w:r>
        <w:rPr>
          <w:rFonts w:ascii="Times New Roman" w:hAnsi="Times New Roman" w:eastAsia="MS Mincho"/>
          <w:b w:val="0"/>
          <w:i w:val="0"/>
          <w:sz w:val="22"/>
        </w:rPr>
        <w:t>Haskel, J. and S. Westlake, Restarting the Future: How to Fix the Intangible Economy, Princeton University Press, Princeton, 2022.</w:t>
      </w:r>
    </w:p>
    <w:p>
      <w:pPr>
        <w:spacing w:after="120" w:before="0" w:line="360" w:lineRule="auto"/>
      </w:pPr>
      <w:r>
        <w:rPr>
          <w:rFonts w:ascii="Times New Roman" w:hAnsi="Times New Roman" w:eastAsia="MS Mincho"/>
          <w:b w:val="0"/>
          <w:i w:val="0"/>
          <w:sz w:val="22"/>
        </w:rPr>
        <w:t>Hulten, C. R., "Growth accounting when technical change is embodied in capital," American Economic Review, 82, 964–980, 1992.</w:t>
      </w:r>
    </w:p>
    <w:p>
      <w:pPr>
        <w:spacing w:after="120" w:before="0" w:line="360" w:lineRule="auto"/>
      </w:pPr>
      <w:r>
        <w:rPr>
          <w:rFonts w:ascii="Times New Roman" w:hAnsi="Times New Roman" w:eastAsia="MS Mincho"/>
          <w:b w:val="0"/>
          <w:i w:val="0"/>
          <w:sz w:val="22"/>
        </w:rPr>
        <w:t>Inklaar, R. and M. P. Timmer, "Capital, labor and TFP in PWT 8.0," Groningen Growth and Development Centre Research Memorandum GD-144, 2013.</w:t>
      </w:r>
    </w:p>
    <w:p>
      <w:pPr>
        <w:spacing w:after="120" w:before="0" w:line="360" w:lineRule="auto"/>
      </w:pPr>
      <w:r>
        <w:rPr>
          <w:rFonts w:ascii="Times New Roman" w:hAnsi="Times New Roman" w:eastAsia="MS Mincho"/>
          <w:b w:val="0"/>
          <w:i w:val="0"/>
          <w:sz w:val="22"/>
        </w:rPr>
        <w:t>Jorgenson, D. W., "The economic theory of replacement and depreciation," in W. Sellekaerts, ed., Econometrics and Economic Theory: Essays in Honour of Jan Tinbergen, Macmillan, London, 189–221, 1973.</w:t>
      </w:r>
    </w:p>
    <w:p>
      <w:pPr>
        <w:spacing w:after="120" w:before="0" w:line="360" w:lineRule="auto"/>
      </w:pPr>
      <w:r>
        <w:rPr>
          <w:rFonts w:ascii="Times New Roman" w:hAnsi="Times New Roman" w:eastAsia="MS Mincho"/>
          <w:b w:val="0"/>
          <w:i w:val="0"/>
          <w:sz w:val="22"/>
        </w:rPr>
        <w:t>Jorgenson, D. W. and Z. Griliches, "The explanation of productivity change," Review of Economic Studies, 34, 249–283, 1967.</w:t>
      </w:r>
    </w:p>
    <w:p>
      <w:pPr>
        <w:spacing w:after="120" w:before="0" w:line="360" w:lineRule="auto"/>
      </w:pPr>
      <w:r>
        <w:rPr>
          <w:rFonts w:ascii="Times New Roman" w:hAnsi="Times New Roman" w:eastAsia="MS Mincho"/>
          <w:b w:val="0"/>
          <w:i w:val="0"/>
          <w:sz w:val="22"/>
        </w:rPr>
        <w:t>Jorgenson, D. W., "Production and welfare: progress in economic measurement," Journal of Economic Literature, 56, 867–919, 2018.</w:t>
      </w:r>
    </w:p>
    <w:p>
      <w:pPr>
        <w:spacing w:after="120" w:before="0" w:line="360" w:lineRule="auto"/>
      </w:pPr>
      <w:r>
        <w:rPr>
          <w:rFonts w:ascii="Times New Roman" w:hAnsi="Times New Roman" w:eastAsia="MS Mincho"/>
          <w:b w:val="0"/>
          <w:i w:val="0"/>
          <w:sz w:val="22"/>
        </w:rPr>
        <w:t>Jorgenson, D. W., M. S. Ho, and K. J. Stiroh, Productivity, Vol. 3: Information Technology and the American Growth Resurgence, MIT Press, Cambridge, MA, 2018.</w:t>
      </w:r>
    </w:p>
    <w:p>
      <w:pPr>
        <w:spacing w:after="120" w:before="0" w:line="360" w:lineRule="auto"/>
      </w:pPr>
      <w:r>
        <w:rPr>
          <w:rFonts w:ascii="Times New Roman" w:hAnsi="Times New Roman" w:eastAsia="MS Mincho"/>
          <w:b w:val="0"/>
          <w:i w:val="0"/>
          <w:sz w:val="22"/>
        </w:rPr>
        <w:t>Kaboski, J. P., "Factor price uncertainty, technology choice and investment delay," Journal of Economic Dynamics and Control, 29, 509–527, 2005.</w:t>
      </w:r>
    </w:p>
    <w:p>
      <w:pPr>
        <w:spacing w:after="120" w:before="0" w:line="360" w:lineRule="auto"/>
      </w:pPr>
      <w:r>
        <w:rPr>
          <w:rFonts w:ascii="Times New Roman" w:hAnsi="Times New Roman" w:eastAsia="MS Mincho"/>
          <w:b w:val="0"/>
          <w:i w:val="0"/>
          <w:sz w:val="22"/>
        </w:rPr>
        <w:t>Koeva, P., "The facts about time-to-build," IMF Working Paper 00/138, 2000.</w:t>
      </w:r>
    </w:p>
    <w:p>
      <w:pPr>
        <w:spacing w:after="120" w:before="0" w:line="360" w:lineRule="auto"/>
      </w:pPr>
      <w:r>
        <w:rPr>
          <w:rFonts w:ascii="Times New Roman" w:hAnsi="Times New Roman" w:eastAsia="MS Mincho"/>
          <w:b w:val="0"/>
          <w:i w:val="0"/>
          <w:sz w:val="22"/>
        </w:rPr>
        <w:t>Kohler, H.-P., F. C. Billari, and J. A. Ortega, "The emergence of lowest-low fertility in Europe during the 1990s," Population and Development Review, 28, 641–680, 2002.</w:t>
      </w:r>
    </w:p>
    <w:p>
      <w:pPr>
        <w:spacing w:after="120" w:before="0" w:line="360" w:lineRule="auto"/>
      </w:pPr>
      <w:r>
        <w:rPr>
          <w:rFonts w:ascii="Times New Roman" w:hAnsi="Times New Roman" w:eastAsia="MS Mincho"/>
          <w:b w:val="0"/>
          <w:i w:val="0"/>
          <w:sz w:val="22"/>
        </w:rPr>
        <w:t>Kydland, F. E. and E. C. Prescott, "Time to build and aggregate fluctuations," Econometrica, 50, 1345–1370, 1982.</w:t>
      </w:r>
    </w:p>
    <w:p>
      <w:pPr>
        <w:spacing w:after="120" w:before="0" w:line="360" w:lineRule="auto"/>
      </w:pPr>
      <w:r>
        <w:rPr>
          <w:rFonts w:ascii="Times New Roman" w:hAnsi="Times New Roman" w:eastAsia="MS Mincho"/>
          <w:b w:val="0"/>
          <w:i w:val="0"/>
          <w:sz w:val="22"/>
        </w:rPr>
        <w:t>Lange, G.-M., Q. Wodon, and K. Carey, eds., The Changing Wealth of Nations 2018: Building a Sustainable Future, World Bank, Washington, DC, 2018.</w:t>
      </w:r>
    </w:p>
    <w:p>
      <w:pPr>
        <w:spacing w:after="120" w:before="0" w:line="360" w:lineRule="auto"/>
      </w:pPr>
      <w:r>
        <w:rPr>
          <w:rFonts w:ascii="Times New Roman" w:hAnsi="Times New Roman" w:eastAsia="MS Mincho"/>
          <w:b w:val="0"/>
          <w:i w:val="0"/>
          <w:sz w:val="22"/>
        </w:rPr>
        <w:t>Managi, S. and P. Kumar, eds., Inclusive Wealth Report 2018, Routledge, London, 2018.</w:t>
      </w:r>
    </w:p>
    <w:p>
      <w:pPr>
        <w:spacing w:after="120" w:before="0" w:line="360" w:lineRule="auto"/>
      </w:pPr>
      <w:r>
        <w:rPr>
          <w:rFonts w:ascii="Times New Roman" w:hAnsi="Times New Roman" w:eastAsia="MS Mincho"/>
          <w:b w:val="0"/>
          <w:i w:val="0"/>
          <w:sz w:val="22"/>
        </w:rPr>
        <w:t>Mayer, T., "Plant and equipment lead times," Journal of Business, 33, 127–132, 1960.</w:t>
      </w:r>
    </w:p>
    <w:p>
      <w:pPr>
        <w:spacing w:after="120" w:before="0" w:line="360" w:lineRule="auto"/>
      </w:pPr>
      <w:r>
        <w:rPr>
          <w:rFonts w:ascii="Times New Roman" w:hAnsi="Times New Roman" w:eastAsia="MS Mincho"/>
          <w:b w:val="0"/>
          <w:i w:val="0"/>
          <w:sz w:val="22"/>
        </w:rPr>
        <w:t>Nishimura, K. G. and Y. Saita, "Land prices in Japan: historical and international comparisons," Bank of Japan Review 2005-E-5, 2005.</w:t>
      </w:r>
    </w:p>
    <w:p>
      <w:pPr>
        <w:spacing w:after="120" w:before="0" w:line="360" w:lineRule="auto"/>
      </w:pPr>
      <w:r>
        <w:rPr>
          <w:rFonts w:ascii="Times New Roman" w:hAnsi="Times New Roman" w:eastAsia="MS Mincho"/>
          <w:b w:val="0"/>
          <w:i w:val="0"/>
          <w:sz w:val="22"/>
        </w:rPr>
        <w:t>OECD, Measuring Capital: OECD Manual 2009, 2nd ed., OECD Publishing, Paris, 2009.</w:t>
      </w:r>
    </w:p>
    <w:p>
      <w:pPr>
        <w:spacing w:after="120" w:before="0" w:line="360" w:lineRule="auto"/>
      </w:pPr>
      <w:r>
        <w:rPr>
          <w:rFonts w:ascii="Times New Roman" w:hAnsi="Times New Roman" w:eastAsia="MS Mincho"/>
          <w:b w:val="0"/>
          <w:i w:val="0"/>
          <w:sz w:val="22"/>
        </w:rPr>
        <w:t>OECD, Supporting Investment in Knowledge Capital, Growth and Innovation, OECD Publishing, Paris, 2013.</w:t>
      </w:r>
    </w:p>
    <w:p>
      <w:pPr>
        <w:spacing w:after="120" w:before="0" w:line="360" w:lineRule="auto"/>
      </w:pPr>
      <w:r>
        <w:rPr>
          <w:rFonts w:ascii="Times New Roman" w:hAnsi="Times New Roman" w:eastAsia="MS Mincho"/>
          <w:b w:val="0"/>
          <w:i w:val="0"/>
          <w:sz w:val="22"/>
        </w:rPr>
        <w:t>Roth, F., "Intangible capital and productivity growth in the EU: a panel data perspective," Hamburg Discussion Papers in International Economics, 13, 2023.</w:t>
      </w:r>
    </w:p>
    <w:p>
      <w:pPr>
        <w:spacing w:after="120" w:before="0" w:line="360" w:lineRule="auto"/>
      </w:pPr>
      <w:r>
        <w:rPr>
          <w:rFonts w:ascii="Times New Roman" w:hAnsi="Times New Roman" w:eastAsia="MS Mincho"/>
          <w:b w:val="0"/>
          <w:i w:val="0"/>
          <w:sz w:val="22"/>
        </w:rPr>
        <w:t>Salomon, J. A., H. Wang, M. K. Freeman, T. Vos, A. D. Flaxman, A. D. Lopez, and C. J. L. Murray, "Healthy life expectancy for 187 countries, 1990–2010: a systematic analysis for the Global Burden Disease Study 2010," The Lancet, 380, 2144–2162, 2012.</w:t>
      </w:r>
    </w:p>
    <w:p>
      <w:pPr>
        <w:spacing w:after="120" w:before="0" w:line="360" w:lineRule="auto"/>
      </w:pPr>
      <w:r>
        <w:rPr>
          <w:rFonts w:ascii="Times New Roman" w:hAnsi="Times New Roman" w:eastAsia="MS Mincho"/>
          <w:b w:val="0"/>
          <w:i w:val="0"/>
          <w:sz w:val="22"/>
        </w:rPr>
        <w:t>Smets, F. and R. Wouters, "Shocks and frictions in US business cycles: a Bayesian DSGE approach," American Economic Review, 97, 586–606, 2007.</w:t>
      </w:r>
    </w:p>
    <w:p>
      <w:pPr>
        <w:spacing w:after="120" w:before="0" w:line="360" w:lineRule="auto"/>
      </w:pPr>
      <w:r>
        <w:rPr>
          <w:rFonts w:ascii="Times New Roman" w:hAnsi="Times New Roman" w:eastAsia="MS Mincho"/>
          <w:b w:val="0"/>
          <w:i w:val="0"/>
          <w:sz w:val="22"/>
        </w:rPr>
        <w:t>Solow, R. M., "Technical change and the aggregate production function," Review of Economics and Statistics, 39, 312–320, 1957.</w:t>
      </w:r>
    </w:p>
    <w:p>
      <w:pPr>
        <w:spacing w:after="120" w:before="0" w:line="360" w:lineRule="auto"/>
      </w:pPr>
      <w:r>
        <w:rPr>
          <w:rFonts w:ascii="Times New Roman" w:hAnsi="Times New Roman" w:eastAsia="MS Mincho"/>
          <w:b w:val="0"/>
          <w:i w:val="0"/>
          <w:sz w:val="22"/>
        </w:rPr>
        <w:t>Solow, R. M., "Investment and technical progress," in K. J. Arrow, S. Karlin, and P. Suppes, eds., Mathematical Methods in the Social Sciences, Stanford University Press, Stanford, 89–104, 1960.</w:t>
      </w:r>
    </w:p>
    <w:p>
      <w:pPr>
        <w:spacing w:after="120" w:before="0" w:line="360" w:lineRule="auto"/>
      </w:pPr>
      <w:r>
        <w:rPr>
          <w:rFonts w:ascii="Times New Roman" w:hAnsi="Times New Roman" w:eastAsia="MS Mincho"/>
          <w:b w:val="0"/>
          <w:i w:val="0"/>
          <w:sz w:val="22"/>
        </w:rPr>
        <w:t>Stiglitz, J. E., A. Sen, and J.-P. Fitoussi, Report by the Commission on the Measurement of Economic Performance and Social Progress, Paris, 2009.</w:t>
      </w:r>
    </w:p>
    <w:p>
      <w:pPr>
        <w:spacing w:after="120" w:before="0" w:line="360" w:lineRule="auto"/>
      </w:pPr>
      <w:r>
        <w:rPr>
          <w:rFonts w:ascii="Times New Roman" w:hAnsi="Times New Roman" w:eastAsia="MS Mincho"/>
          <w:b w:val="0"/>
          <w:i w:val="0"/>
          <w:sz w:val="22"/>
        </w:rPr>
        <w:t>UNECE, Framework and Suggested Indicators to Measure Sustainable Development, United Nations, Geneva, 2014.</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