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There Is No Free Heat Sink: Detecting Environmental Burden Shifting in Thermal-Energy Optimization</w:t>
      </w:r>
    </w:p>
    <w:p>
      <w:pPr>
        <w:jc w:val="center"/>
      </w:pPr>
      <w:r>
        <w:rPr>
          <w:b/>
        </w:rPr>
        <w:t>Tatsuki Onishi</w:t>
      </w:r>
    </w:p>
    <w:p>
      <w:pPr>
        <w:jc w:val="center"/>
      </w:pPr>
      <w:r>
        <w:t>AUTHOR ACTION: confirm affiliation.</w:t>
      </w:r>
    </w:p>
    <w:p>
      <w:pPr>
        <w:jc w:val="center"/>
      </w:pPr>
      <w:r>
        <w:t>Corresponding author: Tatsuki Onishi; bougtoir@gmail.com</w:t>
      </w:r>
    </w:p>
    <w:p>
      <w:r>
        <w:br w:type="page"/>
      </w:r>
    </w:p>
    <w:p>
      <w:pPr>
        <w:pStyle w:val="Heading1"/>
      </w:pPr>
      <w:r>
        <w:t>Article type</w:t>
      </w:r>
    </w:p>
    <w:p>
      <w:r>
        <w:t>Original article</w:t>
      </w:r>
    </w:p>
    <w:p>
      <w:pPr>
        <w:pStyle w:val="Heading1"/>
      </w:pPr>
      <w:r>
        <w:t>Manuscript information</w:t>
      </w:r>
    </w:p>
    <w:p>
      <w:r>
        <w:t>Main-text word count: 6040</w:t>
      </w:r>
    </w:p>
    <w:p>
      <w:r>
        <w:t>Number of main figures: 6</w:t>
      </w:r>
    </w:p>
    <w:p>
      <w:r>
        <w:t>Number of main tables: 5</w:t>
      </w:r>
    </w:p>
    <w:p>
      <w:r>
        <w:t>Number of references: 48</w:t>
      </w:r>
    </w:p>
    <w:p>
      <w:pPr>
        <w:pStyle w:val="Heading1"/>
      </w:pPr>
      <w:r>
        <w:t>Author-controlled metadata</w:t>
      </w:r>
    </w:p>
    <w:p>
      <w:r>
        <w:t>AUTHOR ACTION: confirm affiliation, postal address, ORCID, funding, competing interests, and permanent repository DOI.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