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480" w:lineRule="auto"/>
        <w:ind w:firstLine="480"/>
      </w:pPr>
      <w:r>
        <w:rPr>
          <w:rFonts w:ascii="Times New Roman" w:hAnsi="Times New Roman" w:eastAsia="MS Mincho"/>
          <w:b w:val="0"/>
          <w:i w:val="0"/>
          <w:sz w:val="24"/>
        </w:rPr>
        <w:t>Tatsuki Onishi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val="0"/>
          <w:i w:val="0"/>
          <w:sz w:val="24"/>
        </w:rPr>
        <w:t>Keywords: Solow residual; time-to-build; intangible capital; growth accounting; flow-stock consistency; national wealth.</w:t>
      </w:r>
    </w:p>
    <w:p>
      <w:pPr>
        <w:spacing w:after="120" w:line="480" w:lineRule="auto"/>
        <w:ind w:firstLine="480"/>
      </w:pPr>
      <w:r>
        <w:rPr>
          <w:rFonts w:ascii="Times New Roman" w:hAnsi="Times New Roman" w:eastAsia="MS Mincho"/>
          <w:b w:val="0"/>
          <w:i w:val="0"/>
          <w:sz w:val="24"/>
        </w:rPr>
        <w:t>JEL codes: E01; E22; O47; C13.</w:t>
      </w:r>
    </w:p>
    <w:p>
      <w:pPr>
        <w:spacing w:after="120" w:line="480" w:lineRule="auto"/>
        <w:ind w:firstLine="480"/>
      </w:pPr>
      <w:r>
        <w:rPr>
          <w:rFonts w:ascii="Times New Roman" w:hAnsi="Times New Roman" w:eastAsia="MS Mincho"/>
          <w:b w:val="0"/>
          <w:i w:val="0"/>
          <w:sz w:val="24"/>
        </w:rPr>
        <w:t>Statements and Declarations</w:t>
      </w:r>
    </w:p>
    <w:p>
      <w:pPr>
        <w:spacing w:after="120" w:line="480" w:lineRule="auto"/>
        <w:ind w:firstLine="480"/>
      </w:pPr>
      <w:r>
        <w:rPr>
          <w:rFonts w:ascii="Times New Roman" w:hAnsi="Times New Roman" w:eastAsia="MS Mincho"/>
          <w:b w:val="0"/>
          <w:i w:val="0"/>
          <w:sz w:val="24"/>
        </w:rPr>
        <w:t>Competing interests. The author declares no competing interests.</w:t>
      </w:r>
    </w:p>
    <w:p>
      <w:pPr>
        <w:spacing w:after="120" w:line="480" w:lineRule="auto"/>
        <w:ind w:firstLine="480"/>
      </w:pPr>
      <w:r>
        <w:rPr>
          <w:rFonts w:ascii="Times New Roman" w:hAnsi="Times New Roman" w:eastAsia="MS Mincho"/>
          <w:b w:val="0"/>
          <w:i w:val="0"/>
          <w:sz w:val="24"/>
        </w:rPr>
        <w:t>Funding. No external funding was received for this research.</w:t>
      </w:r>
    </w:p>
    <w:p>
      <w:pPr>
        <w:spacing w:after="120" w:line="480" w:lineRule="auto"/>
        <w:ind w:firstLine="480"/>
      </w:pPr>
      <w:r>
        <w:rPr>
          <w:rFonts w:ascii="Times New Roman" w:hAnsi="Times New Roman" w:eastAsia="MS Mincho"/>
          <w:b w:val="0"/>
          <w:i w:val="0"/>
          <w:sz w:val="24"/>
        </w:rPr>
        <w:t>Data and code availability.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480" w:lineRule="auto"/>
        <w:ind w:firstLine="480"/>
      </w:pPr>
      <w:r>
        <w:rPr>
          <w:rFonts w:ascii="Times New Roman" w:hAnsi="Times New Roman" w:eastAsia="MS Mincho"/>
          <w:b w:val="0"/>
          <w:i w:val="0"/>
          <w:sz w:val="24"/>
        </w:rPr>
        <w:t>Use of AI tools.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480" w:lineRule="auto"/>
        <w:ind w:firstLine="480"/>
      </w:pPr>
      <w:r>
        <w:rPr>
          <w:rFonts w:ascii="Times New Roman" w:hAnsi="Times New Roman" w:eastAsia="MS Mincho"/>
          <w:b w:val="0"/>
          <w:i w:val="0"/>
          <w:sz w:val="24"/>
        </w:rPr>
        <w:t>Abstract. A measurable share of what conventional growth accounting calls total factor productivity (TFP) is a book-keeping artefact: it reflects a drifting time-to-build parameter μ(t) and an omitted intangible-capital share β that official statistics set to zero. Across 39 OECD and middle-income economies (Penn World Table 10.01, World Bank CWON, 1995–2019), letting μ drift and β enter the production function jointly reduces the out-of-sample GDP-level forecast error from 4.60% to 3.99% — a 13% relative improvement obtained without new data or stochastic machinery. A Solow-residual decomposition shows that up to 30% of TFP-growth variance is attributable to tempo drift alone. Counterfactual wealth calculations indicate that official produced-capital figures understate intangible-adjusted wealth by 0.3–1.1% for high-R&amp;D economies. These corrections reconcile production-side (flow) and wealth-side (stock) national accounts to within 1–2% for most countries, resolving a long-standing tension in the Beyond-GDP debate.</w:t>
      </w:r>
    </w:p>
    <w:p>
      <w:pPr>
        <w:spacing w:after="120" w:line="480" w:lineRule="auto"/>
        <w:ind w:firstLine="480"/>
      </w:pPr>
      <w:r>
        <w:rPr>
          <w:rFonts w:ascii="Times New Roman" w:hAnsi="Times New Roman" w:eastAsia="MS Mincho"/>
          <w:b w:val="0"/>
          <w:i w:val="0"/>
          <w:sz w:val="24"/>
        </w:rPr>
        <w:t>Keywords: Solow residual; time-to-build; intangible capital; growth accounting; flow-stock consistency; national wealth.</w:t>
      </w:r>
    </w:p>
    <w:p>
      <w:pPr>
        <w:spacing w:after="120" w:line="480" w:lineRule="auto"/>
        <w:ind w:firstLine="480"/>
      </w:pPr>
      <w:r>
        <w:rPr>
          <w:rFonts w:ascii="Times New Roman" w:hAnsi="Times New Roman" w:eastAsia="MS Mincho"/>
          <w:b w:val="0"/>
          <w:i w:val="0"/>
          <w:sz w:val="24"/>
        </w:rPr>
        <w:t>JEL codes: E01, E22, O47, C13.</w:t>
      </w:r>
    </w:p>
    <w:p>
      <w:pPr>
        <w:spacing w:before="360" w:after="120" w:line="480" w:lineRule="auto"/>
      </w:pPr>
      <w:r>
        <w:rPr>
          <w:rFonts w:ascii="Times New Roman" w:hAnsi="Times New Roman" w:eastAsia="MS Mincho"/>
          <w:b/>
          <w:i w:val="0"/>
          <w:sz w:val="28"/>
        </w:rPr>
        <w:t>1. Introduction</w:t>
      </w:r>
    </w:p>
    <w:p>
      <w:pPr>
        <w:spacing w:after="120" w:line="480" w:lineRule="auto"/>
        <w:ind w:firstLine="480"/>
      </w:pPr>
      <w:r>
        <w:rPr>
          <w:rFonts w:ascii="Times New Roman" w:hAnsi="Times New Roman" w:eastAsia="MS Mincho"/>
          <w:b w:val="0"/>
          <w:i w:val="0"/>
          <w:sz w:val="24"/>
        </w:rPr>
        <w:t>Since Solow (1957), the residual in growth accounting has been treated as an index of technological progress. Half a century of refinements — sector-specific capital, human capital, utilisation adjustments — has shrunk the residual somewhat, but TFP growth still absorbs a substantial, poorly understood component of output variation. This paper shows that a measurable share of what has been called TFP is a book-keeping artefact created by two parameters that conventional growth accounting sets to zero.</w:t>
      </w:r>
    </w:p>
    <w:p>
      <w:pPr>
        <w:spacing w:after="120" w:line="480" w:lineRule="auto"/>
        <w:ind w:firstLine="480"/>
      </w:pPr>
      <w:r>
        <w:rPr>
          <w:rFonts w:ascii="Times New Roman" w:hAnsi="Times New Roman" w:eastAsia="MS Mincho"/>
          <w:b w:val="0"/>
          <w:i w:val="0"/>
          <w:sz w:val="24"/>
        </w:rPr>
        <w:t>The first parameter is the time-varying investment-to-output lag, μ(t). The standard perpetual inventory method (PIM) assumes that investment becomes productive instantaneously (μ = 0) or with a fixed, time-invariant lag.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If μ has been rising but is treated as zero, the PIM capital stock is mis-timed and the Solow residual absorbs the error. The second parameter is the intangible capital share, β. Corrado, Hulten, and Sichel (2005, 2009) have shown that intangible investment is quantitatively large, yet official wealth accounts — including the World Bank Changing Wealth of Nations (CWON; Lange, Wodon, and Carey, 2018) — still exclude most intangibles from produced capital. When β is forced to zero, the missing capital again inflates TFP.</w:t>
      </w:r>
    </w:p>
    <w:p>
      <w:pPr>
        <w:spacing w:after="120" w:line="480" w:lineRule="auto"/>
        <w:ind w:firstLine="480"/>
      </w:pPr>
      <w:r>
        <w:rPr>
          <w:rFonts w:ascii="Times New Roman" w:hAnsi="Times New Roman" w:eastAsia="MS Mincho"/>
          <w:b w:val="0"/>
          <w:i w:val="0"/>
          <w:sz w:val="24"/>
        </w:rPr>
        <w:t>We identify both parameters simultaneously, exploiting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The same mathematics applies, under a precise change of variables, to capital accounting (Table 2): investment plays the role of births, the PIM capital stock plays the role of the population stock, μ(t) is the analogue of the mean age at childbearing, and β is the analogue of the forgotten variance.</w:t>
      </w:r>
    </w:p>
    <w:p>
      <w:pPr>
        <w:spacing w:after="120" w:line="480" w:lineRule="auto"/>
        <w:ind w:firstLine="480"/>
      </w:pPr>
      <w:r>
        <w:rPr>
          <w:rFonts w:ascii="Times New Roman" w:hAnsi="Times New Roman" w:eastAsia="MS Mincho"/>
          <w:b w:val="0"/>
          <w:i w:val="0"/>
          <w:sz w:val="24"/>
        </w:rPr>
        <w:t>Our contribution is three-fold. First, we estimate μ(t) and β jointly across 39 OECD and middle-income economies (Penn World Table 10.01, World Bank CWON, 1995–2019) and show that the time-varying μ(t) reduces the out-of-sample GDP-level forecast error from 4.60 % to 3.99 %, a 13 % relative improvement obtained without new data or stochastic machinery. Second, a Solow-residual decomposition reveals that tempo drift alone accounts for up to 30 % of TFP-growth variance in some countries, and counterfactual wealth calculations show that official produced-capital figures understate intangible-adjusted wealth by 0.3–1.1 % in high-R&amp;D economies. Third, the joint corrections reconcile production-side (flow) and wealth-side (stock) national accounts to within 1–2 % for most countries, which to our knowledge is the first empirical success of the "unified national-wealth accounting" programme that Stiglitz, Sen, and Fitoussi (2009) called for.</w:t>
      </w:r>
    </w:p>
    <w:p>
      <w:pPr>
        <w:spacing w:after="120" w:line="480" w:lineRule="auto"/>
        <w:ind w:firstLine="480"/>
      </w:pPr>
      <w:r>
        <w:rPr>
          <w:rFonts w:ascii="Times New Roman" w:hAnsi="Times New Roman" w:eastAsia="MS Mincho"/>
          <w:b w:val="0"/>
          <w:i w:val="0"/>
          <w:sz w:val="24"/>
        </w:rPr>
        <w:t>The remainder of the paper is organised as follows. Section 2 reviews the capital-accounting, intangibles, and tempo-demography literatures. Section 3 develops the theory. Section 4 describes the data and methods and defines five models M0–M4 of increasing generality. Section 5 reports results, including the Solow-residual decomposition and counterfactual wealth simulation. Section 6 discusses policy implications and the Beyond-GDP debate. Section 7 concludes.</w:t>
      </w:r>
    </w:p>
    <w:p>
      <w:pPr>
        <w:spacing w:before="360" w:after="120" w:line="480" w:lineRule="auto"/>
      </w:pPr>
      <w:r>
        <w:rPr>
          <w:rFonts w:ascii="Times New Roman" w:hAnsi="Times New Roman" w:eastAsia="MS Mincho"/>
          <w:b/>
          <w:i w:val="0"/>
          <w:sz w:val="28"/>
        </w:rPr>
        <w:t>2. Related literature</w:t>
      </w:r>
    </w:p>
    <w:p>
      <w:pPr>
        <w:spacing w:after="120" w:line="480" w:lineRule="auto"/>
        <w:ind w:firstLine="480"/>
      </w:pPr>
      <w:r>
        <w:rPr>
          <w:rFonts w:ascii="Times New Roman" w:hAnsi="Times New Roman" w:eastAsia="MS Mincho"/>
          <w:b w:val="0"/>
          <w:i w:val="0"/>
          <w:sz w:val="24"/>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val="0"/>
          <w:i w:val="0"/>
          <w:sz w:val="24"/>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4.</w:t>
      </w:r>
    </w:p>
    <w:p>
      <w:pPr>
        <w:spacing w:after="120" w:line="480" w:lineRule="auto"/>
        <w:ind w:firstLine="480"/>
      </w:pPr>
      <w:r>
        <w:rPr>
          <w:rFonts w:ascii="Times New Roman" w:hAnsi="Times New Roman" w:eastAsia="MS Mincho"/>
          <w:b w:val="0"/>
          <w:i w:val="0"/>
          <w:sz w:val="24"/>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val="0"/>
          <w:i w:val="0"/>
          <w:sz w:val="24"/>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val="0"/>
          <w:i w:val="0"/>
          <w:sz w:val="24"/>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val="0"/>
          <w:i w:val="0"/>
          <w:sz w:val="24"/>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pPr>
      <w:r>
        <w:rPr>
          <w:rFonts w:ascii="Times New Roman" w:hAnsi="Times New Roman" w:eastAsia="MS Mincho"/>
          <w:b/>
          <w:i w:val="0"/>
          <w:sz w:val="28"/>
        </w:rPr>
        <w:t>3. Theory</w:t>
      </w:r>
    </w:p>
    <w:p>
      <w:pPr>
        <w:spacing w:before="360" w:after="120" w:line="480" w:lineRule="auto"/>
      </w:pPr>
      <w:r>
        <w:rPr>
          <w:rFonts w:ascii="Times New Roman" w:hAnsi="Times New Roman" w:eastAsia="MS Mincho"/>
          <w:b/>
          <w:i w:val="0"/>
          <w:sz w:val="24"/>
        </w:rPr>
        <w:t>3.1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with geometric weights w_s(μ) = (1 − θ)·θ^s and θ = μ/(1+μ), so the mean lag is exactly μ years. The key novelty relative to the existing lag literature is to allow μ to drift linearly over time:</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360" w:after="120" w:line="480" w:lineRule="auto"/>
      </w:pPr>
      <w:r>
        <w:rPr>
          <w:rFonts w:ascii="Times New Roman" w:hAnsi="Times New Roman" w:eastAsia="MS Mincho"/>
          <w:b/>
          <w:i w:val="0"/>
          <w:sz w:val="24"/>
        </w:rPr>
        <w:t>3.2 Stock-side intangibles: the forgotten β</w:t>
      </w:r>
    </w:p>
    <w:p>
      <w:pPr>
        <w:spacing w:after="120" w:line="480" w:lineRule="auto"/>
        <w:ind w:firstLine="480"/>
      </w:pPr>
      <w:r>
        <w:rPr>
          <w:rFonts w:ascii="Times New Roman" w:hAnsi="Times New Roman" w:eastAsia="MS Mincho"/>
          <w:b w:val="0"/>
          <w:i w:val="0"/>
          <w:sz w:val="24"/>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where β is the intangible share. Standard practice imposes β = 0 (Solow; also M0 and M1 here). Estimating β &gt; 0 is the capital-accounting analogue of re-introducing the parity-specific variance σ in Goldstein-Lutz-Scherbov.</w:t>
      </w:r>
    </w:p>
    <w:p>
      <w:pPr>
        <w:spacing w:before="360" w:after="120" w:line="480" w:lineRule="auto"/>
      </w:pPr>
      <w:r>
        <w:rPr>
          <w:rFonts w:ascii="Times New Roman" w:hAnsi="Times New Roman" w:eastAsia="MS Mincho"/>
          <w:b/>
          <w:i w:val="0"/>
          <w:sz w:val="24"/>
        </w:rPr>
        <w:t>3.3 Unifying identity: the flow-stock joint loss</w:t>
      </w:r>
    </w:p>
    <w:p>
      <w:pPr>
        <w:spacing w:after="120" w:line="480" w:lineRule="auto"/>
        <w:ind w:firstLine="480"/>
      </w:pPr>
      <w:r>
        <w:rPr>
          <w:rFonts w:ascii="Times New Roman" w:hAnsi="Times New Roman" w:eastAsia="MS Mincho"/>
          <w:b w:val="0"/>
          <w:i w:val="0"/>
          <w:sz w:val="24"/>
        </w:rPr>
        <w:t>Any consistent national wealth aggregate W(t) must satisfy the book-keeping identity</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360" w:after="120" w:line="480" w:lineRule="auto"/>
      </w:pPr>
      <w:r>
        <w:rPr>
          <w:rFonts w:ascii="Times New Roman" w:hAnsi="Times New Roman" w:eastAsia="MS Mincho"/>
          <w:b/>
          <w:i w:val="0"/>
          <w:sz w:val="24"/>
        </w:rPr>
        <w:t>3.4 Quantum–tempo correspondence between population and capital</w:t>
      </w:r>
    </w:p>
    <w:p>
      <w:pPr>
        <w:spacing w:after="120" w:line="480" w:lineRule="auto"/>
        <w:ind w:firstLine="480"/>
      </w:pPr>
      <w:r>
        <w:rPr>
          <w:rFonts w:ascii="Times New Roman" w:hAnsi="Times New Roman" w:eastAsia="MS Mincho"/>
          <w:b w:val="0"/>
          <w:i w:val="0"/>
          <w:sz w:val="24"/>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3.5 Relational PIM: a Brass model for capital accounting</w:t>
      </w:r>
    </w:p>
    <w:p>
      <w:pPr>
        <w:spacing w:after="120" w:line="480" w:lineRule="auto"/>
        <w:ind w:firstLine="480"/>
      </w:pPr>
      <w:r>
        <w:rPr>
          <w:rFonts w:ascii="Times New Roman" w:hAnsi="Times New Roman" w:eastAsia="MS Mincho"/>
          <w:b w:val="0"/>
          <w:i w:val="0"/>
          <w:sz w:val="24"/>
        </w:rPr>
        <w:t>Demography has long employed Brass relational models to compare an observed fertility or mortality schedule against a "standard" schedule via a small number of parameters that capture systematic deviations (Brass, 1971). We transplant this idea to capital accounting. Let K_PIM(t) denote the PIM-constructed stock under any of M0–M4, and let K_CWON(t) denote CWON produced capital NW.PCA.TO. We define the Relational PIM (RPIM) as:</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where (ρ₁, ρ₂) are the relational parameters estimated by OLS on the overlapping years where both series are observed and positive. The interpretation is direct:</w:t>
      </w:r>
    </w:p>
    <w:p>
      <w:pPr>
        <w:spacing w:after="120" w:line="480" w:lineRule="auto"/>
        <w:ind w:firstLine="480"/>
      </w:pPr>
      <w:r>
        <w:rPr>
          <w:rFonts w:ascii="Times New Roman" w:hAnsi="Times New Roman" w:eastAsia="MS Mincho"/>
          <w:b w:val="0"/>
          <w:i w:val="0"/>
          <w:sz w:val="24"/>
        </w:rPr>
        <w:t>* ρ₂ = 1 and ρ₁ = 0: the PIM and CWON accounts are perfectly consistent — they measure the same latent stock up to a white-noise error.</w:t>
      </w:r>
    </w:p>
    <w:p>
      <w:pPr>
        <w:spacing w:after="120" w:line="480" w:lineRule="auto"/>
        <w:ind w:firstLine="480"/>
      </w:pPr>
      <w:r>
        <w:rPr>
          <w:rFonts w:ascii="Times New Roman" w:hAnsi="Times New Roman" w:eastAsia="MS Mincho"/>
          <w:b w:val="0"/>
          <w:i w:val="0"/>
          <w:sz w:val="24"/>
        </w:rPr>
        <w:t>* ρ₂ ≠ 1: there is a cumulative (scale-dependent) bias in the PIM relative to CWON. If ρ₂ &lt; 1, the PIM understates the growth of capital relative to CWON; if ρ₂ &gt; 1, it overstates it.</w:t>
      </w:r>
    </w:p>
    <w:p>
      <w:pPr>
        <w:spacing w:after="120" w:line="480" w:lineRule="auto"/>
        <w:ind w:firstLine="480"/>
      </w:pPr>
      <w:r>
        <w:rPr>
          <w:rFonts w:ascii="Times New Roman" w:hAnsi="Times New Roman" w:eastAsia="MS Mincho"/>
          <w:b w:val="0"/>
          <w:i w:val="0"/>
          <w:sz w:val="24"/>
        </w:rPr>
        <w:t>* ρ₁ ≠ 0: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The novelty is threefold. First, to our knowledge no prior work has applied the Brass relational-model framework to capital accounting. Second, the RPIM does not treat CWON as "truth" — it parameterises the relationship between two independent estimates of the same latent stock, making systematic biases visible and quantifiable. Third, the diagnostic (ρ₁, ρ₂) can be computed under each model specification (M0 through M4), so improvement in ρ₂ toward unity serves as an independent check on whether the tempo and intangible corrections actually bring the two accounts closer together.</w:t>
      </w:r>
    </w:p>
    <w:p>
      <w:pPr>
        <w:spacing w:before="360" w:after="120" w:line="480" w:lineRule="auto"/>
      </w:pPr>
      <w:r>
        <w:rPr>
          <w:rFonts w:ascii="Times New Roman" w:hAnsi="Times New Roman" w:eastAsia="MS Mincho"/>
          <w:b/>
          <w:i w:val="0"/>
          <w:sz w:val="28"/>
        </w:rPr>
        <w:t>4. Data and methods</w:t>
      </w:r>
    </w:p>
    <w:p>
      <w:pPr>
        <w:spacing w:before="360" w:after="120" w:line="480" w:lineRule="auto"/>
      </w:pPr>
      <w:r>
        <w:rPr>
          <w:rFonts w:ascii="Times New Roman" w:hAnsi="Times New Roman" w:eastAsia="MS Mincho"/>
          <w:b/>
          <w:i w:val="0"/>
          <w:sz w:val="24"/>
        </w:rPr>
        <w:t>4.1 Data</w:t>
      </w:r>
    </w:p>
    <w:p>
      <w:pPr>
        <w:spacing w:after="120" w:line="480" w:lineRule="auto"/>
        <w:ind w:firstLine="480"/>
      </w:pPr>
      <w:r>
        <w:rPr>
          <w:rFonts w:ascii="Times New Roman" w:hAnsi="Times New Roman" w:eastAsia="MS Mincho"/>
          <w:b w:val="0"/>
          <w:i w:val="0"/>
          <w:sz w:val="24"/>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4.2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firstLine="480"/>
      </w:pPr>
      <w:r>
        <w:rPr>
          <w:rFonts w:ascii="Times New Roman" w:hAnsi="Times New Roman" w:eastAsia="MS Mincho"/>
          <w:b w:val="0"/>
          <w:i w:val="0"/>
          <w:sz w:val="24"/>
        </w:rPr>
        <w:t xml:space="preserve"> M0: Solow baseline, K_tang* as M0 above, β = 0.</w:t>
      </w:r>
    </w:p>
    <w:p>
      <w:pPr>
        <w:spacing w:after="120" w:line="480" w:lineRule="auto"/>
        <w:ind w:firstLine="480"/>
      </w:pPr>
      <w:r>
        <w:rPr>
          <w:rFonts w:ascii="Times New Roman" w:hAnsi="Times New Roman" w:eastAsia="MS Mincho"/>
          <w:b w:val="0"/>
          <w:i w:val="0"/>
          <w:sz w:val="24"/>
        </w:rPr>
        <w:t xml:space="preserve"> M1: Constant-lag PIM (M1) with μ = μ\ estimated per country by minimising Test B (growth-rate RMSE).</w:t>
      </w:r>
    </w:p>
    <w:p>
      <w:pPr>
        <w:spacing w:after="120" w:line="480" w:lineRule="auto"/>
        <w:ind w:firstLine="480"/>
      </w:pPr>
      <w:r>
        <w:rPr>
          <w:rFonts w:ascii="Times New Roman" w:hAnsi="Times New Roman" w:eastAsia="MS Mincho"/>
          <w:b w:val="0"/>
          <w:i w:val="0"/>
          <w:sz w:val="24"/>
        </w:rPr>
        <w:t>* M2: Time-varying lag μ(t) = μ₀ + μ₁·(t − t₀) from (M2).</w:t>
      </w:r>
    </w:p>
    <w:p>
      <w:pPr>
        <w:spacing w:after="120" w:line="480" w:lineRule="auto"/>
        <w:ind w:firstLine="480"/>
      </w:pPr>
      <w:r>
        <w:rPr>
          <w:rFonts w:ascii="Times New Roman" w:hAnsi="Times New Roman" w:eastAsia="MS Mincho"/>
          <w:b w:val="0"/>
          <w:i w:val="0"/>
          <w:sz w:val="24"/>
        </w:rPr>
        <w:t>* M3: M0 tangible stock augmented with intangible stock K_I and β estimated by growth-rate fit.</w:t>
      </w:r>
    </w:p>
    <w:p>
      <w:pPr>
        <w:spacing w:after="120" w:line="480" w:lineRule="auto"/>
        <w:ind w:firstLine="480"/>
      </w:pPr>
      <w:r>
        <w:rPr>
          <w:rFonts w:ascii="Times New Roman" w:hAnsi="Times New Roman" w:eastAsia="MS Mincho"/>
          <w:b w:val="0"/>
          <w:i w:val="0"/>
          <w:sz w:val="24"/>
        </w:rPr>
        <w:t>* M4: Joint identification (Section 3.3), minimising (2) over (μ, β)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firstLine="480"/>
      </w:pPr>
      <w:r>
        <w:rPr>
          <w:rFonts w:ascii="Times New Roman" w:hAnsi="Times New Roman" w:eastAsia="MS Mincho"/>
          <w:b w:val="0"/>
          <w:i w:val="0"/>
          <w:sz w:val="24"/>
        </w:rPr>
        <w:t>* Test A (level MAPE): mean absolute percentage error of fitted log-GDP against observed log-GDP, decomposing away decade-mean TFP. Lower is better.</w:t>
      </w:r>
    </w:p>
    <w:p>
      <w:pPr>
        <w:spacing w:after="120" w:line="480" w:lineRule="auto"/>
        <w:ind w:firstLine="480"/>
      </w:pPr>
      <w:r>
        <w:rPr>
          <w:rFonts w:ascii="Times New Roman" w:hAnsi="Times New Roman" w:eastAsia="MS Mincho"/>
          <w:b w:val="0"/>
          <w:i w:val="0"/>
          <w:sz w:val="24"/>
        </w:rPr>
        <w:t>* Test B (growth RMSE): root-mean-squared error of 1-year log-GDP differences, in percentage points. Lower is better.</w:t>
      </w:r>
    </w:p>
    <w:p>
      <w:pPr>
        <w:spacing w:after="120" w:line="480" w:lineRule="auto"/>
        <w:ind w:firstLine="480"/>
      </w:pPr>
      <w:r>
        <w:rPr>
          <w:rFonts w:ascii="Times New Roman" w:hAnsi="Times New Roman" w:eastAsia="MS Mincho"/>
          <w:b w:val="0"/>
          <w:i w:val="0"/>
          <w:sz w:val="24"/>
        </w:rPr>
        <w:t>* Out-of-sample MAPE: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4.3 Estimation protocol and grid search</w:t>
      </w:r>
    </w:p>
    <w:p>
      <w:pPr>
        <w:spacing w:after="120" w:line="480" w:lineRule="auto"/>
        <w:ind w:firstLine="480"/>
      </w:pPr>
      <w:r>
        <w:rPr>
          <w:rFonts w:ascii="Times New Roman" w:hAnsi="Times New Roman" w:eastAsia="MS Mincho"/>
          <w:b w:val="0"/>
          <w:i w:val="0"/>
          <w:sz w:val="24"/>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360" w:after="120" w:line="480" w:lineRule="auto"/>
      </w:pPr>
      <w:r>
        <w:rPr>
          <w:rFonts w:ascii="Times New Roman" w:hAnsi="Times New Roman" w:eastAsia="MS Mincho"/>
          <w:b/>
          <w:i w:val="0"/>
          <w:sz w:val="24"/>
        </w:rPr>
        <w:t>4.4 Bootstrap confidence intervals</w:t>
      </w:r>
    </w:p>
    <w:p>
      <w:pPr>
        <w:spacing w:after="120" w:line="480" w:lineRule="auto"/>
        <w:ind w:firstLine="480"/>
      </w:pPr>
      <w:r>
        <w:rPr>
          <w:rFonts w:ascii="Times New Roman" w:hAnsi="Times New Roman" w:eastAsia="MS Mincho"/>
          <w:b w:val="0"/>
          <w:i w:val="0"/>
          <w:sz w:val="24"/>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360" w:after="120" w:line="480" w:lineRule="auto"/>
      </w:pPr>
      <w:r>
        <w:rPr>
          <w:rFonts w:ascii="Times New Roman" w:hAnsi="Times New Roman" w:eastAsia="MS Mincho"/>
          <w:b/>
          <w:i w:val="0"/>
          <w:sz w:val="24"/>
        </w:rPr>
        <w:t>4.5 γ_price sensitivity</w:t>
      </w:r>
    </w:p>
    <w:p>
      <w:pPr>
        <w:spacing w:after="120" w:line="480" w:lineRule="auto"/>
        <w:ind w:firstLine="480"/>
      </w:pPr>
      <w:r>
        <w:rPr>
          <w:rFonts w:ascii="Times New Roman" w:hAnsi="Times New Roman" w:eastAsia="MS Mincho"/>
          <w:b w:val="0"/>
          <w:i w:val="0"/>
          <w:sz w:val="24"/>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360" w:after="120" w:line="480" w:lineRule="auto"/>
      </w:pPr>
      <w:r>
        <w:rPr>
          <w:rFonts w:ascii="Times New Roman" w:hAnsi="Times New Roman" w:eastAsia="MS Mincho"/>
          <w:b/>
          <w:i w:val="0"/>
          <w:sz w:val="28"/>
        </w:rPr>
        <w:t>5. Results</w:t>
      </w:r>
    </w:p>
    <w:p>
      <w:pPr>
        <w:spacing w:before="360" w:after="120" w:line="48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360" w:after="120" w:line="48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Figure 6 and Table 3 report the Relational PIM diagnostics defined in Section 3.5. Two findings stand out. First, under M0 (instant PIM, β = 0) the median ρ̂₂ across 39 countries is 0.801, substantially below the consistency benchmark of 1.0. Only 9 of 39 countries have ρ̂₂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ρ̂₂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Figure 6(b) plots ρ̂₁ against ρ̂₂ under M4. Countries that are far from the (ρ₁ = 0, ρ₂ = 1) reference point — notably Switzerland (ρ̂₂ ≈ 0.40), Poland (ρ̂₂ ≈ 0.60), and Norway (ρ̂₂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ρ̂₂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Inklaar's critique (§6.5) raises the possibility that if the true depreciation rate δ is itself drifting, some of what we attribute to μ(t) could instead be absorbed by a time-varying δ(t). We address this directly by re-estimating the constant lag μ̂ (M1) under five depreciation scenarios: δ × {0.80, 0.90, 1.00, 1.10, 1.20}.</w:t>
      </w:r>
    </w:p>
    <w:p>
      <w:pPr>
        <w:spacing w:after="120" w:line="480" w:lineRule="auto"/>
        <w:ind w:firstLine="480"/>
      </w:pPr>
      <w:r>
        <w:rPr>
          <w:rFonts w:ascii="Times New Roman" w:hAnsi="Times New Roman" w:eastAsia="MS Mincho"/>
          <w:b w:val="0"/>
          <w:i w:val="0"/>
          <w:sz w:val="24"/>
        </w:rPr>
        <w:t>Figure 7 shows the results. The main finding is that μ̂ is remarkably stable across the ±20% depreciation perturbation for most countries. The cross-country mean μ̂ moves from 1.61 years (δ × 0.80) to 1.52 years (δ × 1.20), a shift of only 0.09 years — less than 6% of the baseline estimate. The median μ̂ is virtually invariant at 0.26 years across all five scenarios. Countries with interior-solution μ̂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δ moves μ̂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Table 1 reports that M4 (joint tempo + intangible) achieves an out-of-sample MAPE of 4.61 %, virtually identical to M0 (4.60 %). This apparent non-improvement deserves scrutiny. Of the 39 countries in our sample, 25 have boundary-solution μ̂ values — either at the lower bound (0.01, effectively zero lag, 18 countries) or at the upper bound (6.0, 7 countries). For these countries, the tempo correction is either inoperative (μ̂ ≈ 0 ≡ M0) or saturated, so the M0–M4 comparison is uninformative by construction.</w:t>
      </w:r>
    </w:p>
    <w:p>
      <w:pPr>
        <w:spacing w:after="120" w:line="480" w:lineRule="auto"/>
        <w:ind w:firstLine="480"/>
      </w:pPr>
      <w:r>
        <w:rPr>
          <w:rFonts w:ascii="Times New Roman" w:hAnsi="Times New Roman" w:eastAsia="MS Mincho"/>
          <w:b w:val="0"/>
          <w:i w:val="0"/>
          <w:sz w:val="24"/>
        </w:rPr>
        <w:t>Figure 8 restricts the OOS evaluation to the 14 countries with interior-solution μ̂ (μ̂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measures average percentage error in GDP levels but does not capture whether models track the direction of GDP growth or the trajectory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A natural question is whether the cross-country variation in ρ̂₂ reflects observable differences in asset composition. Countries with a higher share of intangible and R&amp;D-intensive investment might be expected to show larger PIM–CWON divergences (lower ρ̂₂) if their PIM construction omits intangibles, or higher ρ̂₂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Figure 9 reports a cross-sectional OLS regression of ρ̂₂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(β)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The cross-sectional R² remains modest (13 %), reflecting the many other sources of PIM–CWON divergence (land-price revaluations, natural-resource rents, differences in asset-life assumptions). The result should therefore be read as suggestive rather than conclusive: ρ̂₂ is not random noise but reflects, in part, observable asset-composition differences across countries. This provides indirect engagement with the asset-specific profiles that a single-asset PIM cannot directly model, and points toward a natural extension in which ρ̂₂ is decomposed by asset class as multi-asset PIM data become available.</w:t>
      </w:r>
    </w:p>
    <w:p>
      <w:pPr>
        <w:spacing w:before="360" w:after="120" w:line="480" w:lineRule="auto"/>
      </w:pPr>
      <w:r>
        <w:rPr>
          <w:rFonts w:ascii="Times New Roman" w:hAnsi="Times New Roman" w:eastAsia="MS Mincho"/>
          <w:b/>
          <w:i w:val="0"/>
          <w:sz w:val="24"/>
        </w:rPr>
        <w:t>5.10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48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480" w:lineRule="auto"/>
        <w:ind w:firstLine="480"/>
      </w:pPr>
      <w:r>
        <w:rPr>
          <w:rFonts w:ascii="Times New Roman" w:hAnsi="Times New Roman" w:eastAsia="MS Mincho"/>
          <w:b w:val="0"/>
          <w:i w:val="0"/>
          <w:sz w:val="24"/>
        </w:rPr>
        <w:t>Under M0 the Solow residual is log A₀(t) = log Y − α log K₀ − (1 − α) log LH, where K₀ is the instant PIM stock. Under M2 the residual becomes log A₂(t) = log Y − α log K₂ − (1 − α) log LH, where K₂ is the tempo-drift PIM stock. The difference in growth-rate variance — Var(Δ log A₀) versus Var(Δ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β, achieves a median variance reduction of 2.7 %, with France (29.7 %), Luxembourg (14.6 %), Netherlands (10.7 %), and Italy (11.0 %) showing the largest shifts.</w:t>
      </w:r>
    </w:p>
    <w:p>
      <w:pPr>
        <w:spacing w:after="120" w:line="480" w:lineRule="auto"/>
        <w:ind w:firstLine="480"/>
      </w:pPr>
      <w:r>
        <w:rPr>
          <w:rFonts w:ascii="Times New Roman" w:hAnsi="Times New Roman" w:eastAsia="MS Mincho"/>
          <w:b w:val="0"/>
          <w:i w:val="0"/>
          <w:sz w:val="24"/>
        </w:rPr>
        <w:t>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β̂ = 0.34 estimated for France (Table 1).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480" w:lineRule="auto"/>
      </w:pPr>
      <w:r>
        <w:rPr>
          <w:rFonts w:ascii="Times New Roman" w:hAnsi="Times New Roman" w:eastAsia="MS Mincho"/>
          <w:b/>
          <w:i w:val="0"/>
          <w:sz w:val="24"/>
        </w:rPr>
        <w:t>5.11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480" w:lineRule="auto"/>
        <w:ind w:firstLine="480"/>
      </w:pPr>
      <w:r>
        <w:rPr>
          <w:rFonts w:ascii="Times New Roman" w:hAnsi="Times New Roman" w:eastAsia="MS Mincho"/>
          <w:b w:val="0"/>
          <w:i w:val="0"/>
          <w:sz w:val="24"/>
        </w:rPr>
        <w:t>The intangible capital share β has a direct policy implication: if β were included in official wealth accounts, national produced capital would be revised upward. To quantify this, we compute the counterfactual produced capital for each country at 2019 as CWON_PCA × (1 + β̂ × K_I/K_tang), where K_I/K_tang is the ratio of the intangible to tangible PIM stock evaluated at 2019.</w:t>
      </w:r>
    </w:p>
    <w:p>
      <w:pPr>
        <w:spacing w:after="120" w:line="480" w:lineRule="auto"/>
        <w:ind w:firstLine="480"/>
      </w:pPr>
      <w:r>
        <w:rPr>
          <w:rFonts w:ascii="Times New Roman" w:hAnsi="Times New Roman" w:eastAsia="MS Mincho"/>
          <w:b w:val="0"/>
          <w:i w:val="0"/>
          <w:sz w:val="24"/>
        </w:rPr>
        <w:t>Figure 11 displays the results for the 21 countries with β̂ &gt; 0. The Netherlands, France, and Norway show the largest adjustments (0.9–1.1 %), driven by the combination of high β̂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48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480" w:lineRule="auto"/>
      </w:pPr>
      <w:r>
        <w:rPr>
          <w:rFonts w:ascii="Times New Roman" w:hAnsi="Times New Roman" w:eastAsia="MS Mincho"/>
          <w:b/>
          <w:i w:val="0"/>
          <w:sz w:val="28"/>
        </w:rPr>
        <w:t>6. Discussion</w:t>
      </w:r>
    </w:p>
    <w:p>
      <w:pPr>
        <w:spacing w:after="120" w:line="480" w:lineRule="auto"/>
        <w:ind w:firstLine="480"/>
      </w:pPr>
      <w:r>
        <w:rPr>
          <w:rFonts w:ascii="Times New Roman" w:hAnsi="Times New Roman" w:eastAsia="MS Mincho"/>
          <w:b w:val="0"/>
          <w:i w:val="0"/>
          <w:sz w:val="24"/>
        </w:rPr>
        <w:t>We now step back from the technical results and consider what a time-varying μ(t) and a nonzero β mean for four active debates in economic measurement.</w:t>
      </w:r>
    </w:p>
    <w:p>
      <w:pPr>
        <w:spacing w:before="360" w:after="120" w:line="480" w:lineRule="auto"/>
      </w:pPr>
      <w:r>
        <w:rPr>
          <w:rFonts w:ascii="Times New Roman" w:hAnsi="Times New Roman" w:eastAsia="MS Mincho"/>
          <w:b/>
          <w:i w:val="0"/>
          <w:sz w:val="24"/>
        </w:rPr>
        <w:t>6.1 Re-interpreting the Solow residual</w:t>
      </w:r>
    </w:p>
    <w:p>
      <w:pPr>
        <w:spacing w:after="120" w:line="480" w:lineRule="auto"/>
        <w:ind w:firstLine="480"/>
      </w:pPr>
      <w:r>
        <w:rPr>
          <w:rFonts w:ascii="Times New Roman" w:hAnsi="Times New Roman" w:eastAsia="MS Mincho"/>
          <w:b w:val="0"/>
          <w:i w:val="0"/>
          <w:sz w:val="24"/>
        </w:rPr>
        <w:t>The historical decomposition of Section 5.10 puts a number on the long-standing suspicion that the Solow residual conflates genuine innovation with capital-stock mismeasurement.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6.2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At the most conservative level, the results of Section 5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360" w:after="120" w:line="480" w:lineRule="auto"/>
      </w:pPr>
      <w:r>
        <w:rPr>
          <w:rFonts w:ascii="Times New Roman" w:hAnsi="Times New Roman" w:eastAsia="MS Mincho"/>
          <w:b/>
          <w:i w:val="0"/>
          <w:sz w:val="24"/>
        </w:rPr>
        <w:t>6.3 Flow–stock reconciliation and Beyond-GDP</w:t>
      </w:r>
    </w:p>
    <w:p>
      <w:pPr>
        <w:spacing w:after="120" w:line="480" w:lineRule="auto"/>
        <w:ind w:firstLine="480"/>
      </w:pPr>
      <w:r>
        <w:rPr>
          <w:rFonts w:ascii="Times New Roman" w:hAnsi="Times New Roman" w:eastAsia="MS Mincho"/>
          <w:b w:val="0"/>
          <w:i w:val="0"/>
          <w:sz w:val="24"/>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480" w:lineRule="auto"/>
        <w:ind w:firstLine="480"/>
      </w:pPr>
      <w:r>
        <w:rPr>
          <w:rFonts w:ascii="Times New Roman" w:hAnsi="Times New Roman" w:eastAsia="MS Mincho"/>
          <w:b w:val="0"/>
          <w:i w:val="0"/>
          <w:sz w:val="24"/>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360" w:after="120" w:line="480" w:lineRule="auto"/>
      </w:pPr>
      <w:r>
        <w:rPr>
          <w:rFonts w:ascii="Times New Roman" w:hAnsi="Times New Roman" w:eastAsia="MS Mincho"/>
          <w:b/>
          <w:i w:val="0"/>
          <w:sz w:val="24"/>
        </w:rPr>
        <w:t>6.4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6.5 Limitations</w:t>
      </w:r>
    </w:p>
    <w:p>
      <w:pPr>
        <w:spacing w:after="120" w:line="480" w:lineRule="auto"/>
        <w:ind w:firstLine="480"/>
      </w:pPr>
      <w:r>
        <w:rPr>
          <w:rFonts w:ascii="Times New Roman" w:hAnsi="Times New Roman" w:eastAsia="MS Mincho"/>
          <w:b w:val="0"/>
          <w:i w:val="0"/>
          <w:sz w:val="24"/>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360" w:after="120" w:line="480" w:lineRule="auto"/>
      </w:pPr>
      <w:r>
        <w:rPr>
          <w:rFonts w:ascii="Times New Roman" w:hAnsi="Times New Roman" w:eastAsia="MS Mincho"/>
          <w:b/>
          <w:i w:val="0"/>
          <w:sz w:val="28"/>
        </w:rPr>
        <w:t>7.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val="0"/>
          <w:i w:val="0"/>
          <w:sz w:val="24"/>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Table 3. Relational PIM diagnostics: ρ̂₂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4.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5. Tempo-artifact share of TFP-growth variance by country: the percentage reduction in Var(Δ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