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Correspondence to: Tatsuki Onishi, Data Science and AI Innovation Research Promotion Center, Shiga University of Medical Science, Seta Tsukinowa-cho, Otsu, Shiga 520-2192, Japan. E-mail: bougtoir@gmail.com. ORCID: [iD to be added]</w:t>
      </w:r>
    </w:p>
    <w:p>
      <w:pPr>
        <w:pStyle w:val="Heading1"/>
      </w:pPr>
      <w:r>
        <w:t>Summary</w:t>
      </w:r>
    </w:p>
    <w:p>
      <w:pPr>
        <w:spacing w:after="120" w:line="480" w:lineRule="auto"/>
      </w:pPr>
      <w:r>
        <w:rPr>
          <w:b/>
        </w:rPr>
        <w:t xml:space="preserve">Background </w:t>
      </w:r>
      <w:r>
        <w:t>Ambient heat is an established mortality risk factor; because driving continues in heat, fatal crashes may involve heat-related impairment or unrecorded heat illness. We quantified the acute association between local heat anomalies and daily traffic-crash mortality in the US and Japan.</w:t>
      </w:r>
    </w:p>
    <w:p>
      <w:pPr>
        <w:spacing w:after="120" w:line="480" w:lineRule="auto"/>
      </w:pPr>
      <w:r>
        <w:rPr>
          <w:b/>
        </w:rPr>
        <w:t xml:space="preserve">Methods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after="120" w:line="480" w:lineRule="auto"/>
      </w:pPr>
      <w:r>
        <w:rPr>
          <w:b/>
        </w:rPr>
        <w:t xml:space="preserve">Findings </w:t>
      </w:r>
      <w:r>
        <w:t>In the USA (270,497 crash deaths), a +9°C anomaly raised same-day crash mortality, RR 1.165 (95% CI 1.134-1.196), and remained similar after additionally adjusting for state population, state vehicle-miles travelled, precipitation and heat-stress metrics (RR 1.073, 95% CI 1.024-1.124). The excess was larger for open-air users (motorcyclists RR 2.141, pedestrians RR 1.214) than vehicle occupants (RR 1.050). Net heat-attributable deaths were 513 per year (1.33%), similar to 527 recorded direct-heat deaths (ICD-10 X30); +1 to +3°C warming projected 339-984 additional deaths per year. Japan data (11,576 deaths) were too sparse for a precise estimate.</w:t>
      </w:r>
    </w:p>
    <w:p>
      <w:pPr>
        <w:spacing w:after="120" w:line="480" w:lineRule="auto"/>
      </w:pPr>
      <w:r>
        <w:rPr>
          <w:b/>
        </w:rPr>
        <w:t xml:space="preserve">Interpretation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after="120" w:line="480" w:lineRule="auto"/>
      </w:pPr>
      <w:r>
        <w:rPr>
          <w:b/>
        </w:rPr>
        <w:t xml:space="preserve">Funding </w:t>
      </w:r>
      <w:r>
        <w:t>None.</w:t>
      </w:r>
    </w:p>
    <w:p>
      <w:pPr>
        <w:pStyle w:val="Heading1"/>
      </w:pPr>
      <w:r>
        <w:t>Research in context</w:t>
      </w:r>
    </w:p>
    <w:p>
      <w:pPr>
        <w:spacing w:after="120" w:line="480" w:lineRule="auto"/>
      </w:pPr>
      <w:r>
        <w:rPr>
          <w:b/>
        </w:rPr>
        <w:t xml:space="preserve">Evidence before this study </w:t>
      </w:r>
      <w:r>
        <w:t>Ambient heat is a well-established driver of daily mortality, and distributed-lag and distributed-lag non-linear models linking temperature to death are a mature methodology. Prior work has largely focused on cardiovascular, respiratory, and all-cause mortality; heat illness is thought to be substantially under-recorded because it is rarely investigated after death. Traffic-crash deaths, which seldom undergo a heat-oriented post-mortem examination, have received little attention as a possible reservoir of unrecognised heat mortality. We are not aware of national population-level studies quantifying the acute crash-mortality burden of hotter-than-normal days alongside officially recorded direct-heat deaths.</w:t>
      </w:r>
    </w:p>
    <w:p>
      <w:pPr>
        <w:spacing w:after="120" w:line="480" w:lineRule="auto"/>
      </w:pPr>
      <w:r>
        <w:rPr>
          <w:b/>
        </w:rPr>
        <w:t xml:space="preserve">Added value of this study </w:t>
      </w:r>
      <w:r>
        <w:t>Using only public data, we show at the population level that days hotter than the local seasonal norm carry an acute excess of US traffic-crash deaths that persists after adjustment for national driving activity, is concentrated in heat-exposed open-air road users, and is comparable in magnitude to all officially recorded direct-heat mortality. We provide scenario projections showing this hidden burden would grow under uniform warming, and we report a much weaker, imprecise signal in Japan.</w:t>
      </w:r>
    </w:p>
    <w:p>
      <w:pPr>
        <w:spacing w:after="120" w:line="480" w:lineRule="auto"/>
      </w:pPr>
      <w:r>
        <w:rPr>
          <w:b/>
        </w:rPr>
        <w:t xml:space="preserve">Implications of all the available evidence </w:t>
      </w:r>
      <w:r>
        <w:t>The results suggest that routine cause-of-death coding may miss a heat contribution to road deaths of societal importance, and that this burden is sensitive to future warming. Because the analysis is ecological, it cannot attribute any individual crash to heat illness and cannot exclude weather-related changes in activity; it motivates individual-level investigation, such as heat-aware forensic assessment of crash fatalities.</w:t>
      </w:r>
    </w:p>
    <w:p>
      <w:pPr>
        <w:pStyle w:val="Heading1"/>
      </w:pPr>
      <w:r>
        <w:t>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vertAlign w:val="superscript"/>
        </w:rPr>
        <w:t>1,2</w:t>
      </w:r>
      <w:r>
        <w:t xml:space="preserve"> Recent syntheses also link higher ambient temperature to increased road traffic accidents and injuries.</w:t>
      </w:r>
      <w:r>
        <w:rPr>
          <w:vertAlign w:val="superscript"/>
        </w:rPr>
        <w:t>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(Fatality Analysis Reporting System [FARS], 2016-2022)</w:t>
      </w:r>
      <w:r>
        <w:rPr>
          <w:vertAlign w:val="superscript"/>
        </w:rPr>
        <w:t>5</w:t>
      </w:r>
      <w:r>
        <w:t xml:space="preserve"> and by Japanese prefecture (National Police Agency [NPA] accident open data, 2019-2024).</w:t>
      </w:r>
      <w:r>
        <w:rPr>
          <w:vertAlign w:val="superscript"/>
        </w:rPr>
        <w:t>6</w:t>
      </w:r>
      <w:r>
        <w:t xml:space="preserve"> Daily mean temperature was taken from the Global Historical Climatology Network-Daily (GHCN-Daily) stations</w:t>
      </w:r>
      <w:r>
        <w:rPr>
          <w:vertAlign w:val="superscript"/>
        </w:rPr>
        <w:t>7</w:t>
      </w:r>
      <w:r>
        <w:t xml:space="preserve"> as the mean of TMAX and TMIN, aggregated to each spatial unit from its nearest reporting stations. State-level precipitation (PRCP) and, in sensitivity analyses, daily average dew point (ADPT), relative humidity (RHAV) and average wet-bulb temperature (AWBT) were taken from the same GHCN-Daily stations and used to compute humidex, the US National Weather Service heat index (converted back to degrees Celsius) and an estimated wet-bulb globe temperature (0.7 times wet-bulb plus 0.3 times air temperature).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Each exposure-response spline had 4 df (3 effective df after removing the constant); the US and Japanese seasonal splines had 8 and 6 df respectively, and the long-term trend had 3 df per study year. Overdispersion was handled with a quasi-Poisson dispersion parameter. Net heat-attributable deaths were computed by the method of Gasparrini and Leone</w:t>
      </w:r>
      <w:r>
        <w:rPr>
          <w:vertAlign w:val="superscript"/>
        </w:rPr>
        <w:t>9</w:t>
      </w:r>
      <w:r>
        <w:t xml:space="preserve"> with Monte Carlo (MC) confidence intervals (CIs). As sensitivity analyses for the US we added (i) national vehicle-miles travelled (VMT)</w:t>
      </w:r>
      <w:r>
        <w:rPr>
          <w:vertAlign w:val="superscript"/>
        </w:rPr>
        <w:t>10</w:t>
      </w:r>
      <w:r>
        <w:t xml:space="preserve"> and finished-motor-gasoline product supplied</w:t>
      </w:r>
      <w:r>
        <w:rPr>
          <w:vertAlign w:val="superscript"/>
        </w:rPr>
        <w:t>11</w:t>
      </w:r>
      <w:r>
        <w:t xml:space="preserve"> as activity proxies, and (ii) a richer control set with state annual population (used as an offset)</w:t>
      </w:r>
      <w:r>
        <w:rPr>
          <w:vertAlign w:val="superscript"/>
        </w:rPr>
        <w:t>12</w:t>
      </w:r>
      <w:r>
        <w:t>, state annual VMT</w:t>
      </w:r>
      <w:r>
        <w:rPr>
          <w:vertAlign w:val="superscript"/>
        </w:rPr>
        <w:t>13</w:t>
      </w:r>
      <w:r>
        <w:t>, daily state precipitation, and the GHCN-derived heat-stress metrics as additional exposures or confounders. Officially recorded direct-heat deaths (International Classification of Diseases, 10th revision [ICD-10] code X30) were obtained from CDC WONDER.</w:t>
      </w:r>
      <w:r>
        <w:rPr>
          <w:vertAlign w:val="superscript"/>
        </w:rPr>
        <w:t>14</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The +9 °C anomaly level was chosen because it lies near the upper end of the observed positive-anomaly range while remaining within the support of the estimated anomaly response (approximately -12 to +10 °C), so the estimate does not require extrapolation. The quasi-Poisson variance accounts for overdispersion but does not model residual temporal autocorrelation explicitly; the distributed-lag, seasonal, trend and day-of-week terms absorb most short-term serial correlation, but any remaining autocorrelation could affect confidence intervals (see Limitations).</w:t>
      </w:r>
    </w:p>
    <w:p>
      <w:pPr>
        <w:spacing w:after="120" w:line="480" w:lineRule="auto"/>
      </w:pPr>
      <w:r>
        <w:t>No ethics approval was required because the study used publicly available, aggregated and de-identified data with no individual patient records.</w:t>
      </w:r>
    </w:p>
    <w:p>
      <w:pPr>
        <w:spacing w:after="120" w:line="480" w:lineRule="auto"/>
      </w:pPr>
      <w:r>
        <w:t>Generative artificial-intelligence tools were used to assist with code development and manuscript drafting; the author reviewed and verified all content and takes full responsibility for the final work.</w:t>
      </w:r>
    </w:p>
    <w:p>
      <w:pPr>
        <w:pStyle w:val="Heading1"/>
      </w:pPr>
      <w:r>
        <w:t>Results</w:t>
      </w:r>
    </w:p>
    <w:p>
      <w:pPr>
        <w:spacing w:after="120" w:line="480" w:lineRule="auto"/>
      </w:pPr>
      <w:r>
        <w:t>The panels comprised 270,497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270,497</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1.134-1.196), with a cumulative lag 0-10 RR of 1.074 (95% CI 1.015-1.137).</w:t>
      </w:r>
    </w:p>
    <w:p/>
    <w:p>
      <w:pPr>
        <w:jc w:val="center"/>
      </w:pPr>
      <w:r>
        <w:drawing>
          <wp:inline xmlns:a="http://schemas.openxmlformats.org/drawingml/2006/main" xmlns:pic="http://schemas.openxmlformats.org/drawingml/2006/picture">
            <wp:extent cx="5120640" cy="3957523"/>
            <wp:docPr id="1" name="Picture 1"/>
            <wp:cNvGraphicFramePr>
              <a:graphicFrameLocks noChangeAspect="1"/>
            </wp:cNvGraphicFramePr>
            <a:graphic>
              <a:graphicData uri="http://schemas.openxmlformats.org/drawingml/2006/picture">
                <pic:pic>
                  <pic:nvPicPr>
                    <pic:cNvPr id="0" name="fig1_absolute_exposure_response.png"/>
                    <pic:cNvPicPr/>
                  </pic:nvPicPr>
                  <pic:blipFill>
                    <a:blip r:embed="rId9"/>
                    <a:stretch>
                      <a:fillRect/>
                    </a:stretch>
                  </pic:blipFill>
                  <pic:spPr>
                    <a:xfrm>
                      <a:off x="0" y="0"/>
                      <a:ext cx="5120640" cy="3957523"/>
                    </a:xfrm>
                    <a:prstGeom prst="rect"/>
                  </pic:spPr>
                </pic:pic>
              </a:graphicData>
            </a:graphic>
          </wp:inline>
        </w:drawing>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 Black-and-white version: line styles and marker shapes distinguish categories.</w:t>
      </w:r>
    </w:p>
    <w:p/>
    <w:p/>
    <w:p>
      <w:pPr>
        <w:jc w:val="center"/>
      </w:pPr>
      <w:r>
        <w:drawing>
          <wp:inline xmlns:a="http://schemas.openxmlformats.org/drawingml/2006/main" xmlns:pic="http://schemas.openxmlformats.org/drawingml/2006/picture">
            <wp:extent cx="5120640" cy="3760012"/>
            <wp:docPr id="2" name="Picture 2"/>
            <wp:cNvGraphicFramePr>
              <a:graphicFrameLocks noChangeAspect="1"/>
            </wp:cNvGraphicFramePr>
            <a:graphic>
              <a:graphicData uri="http://schemas.openxmlformats.org/drawingml/2006/picture">
                <pic:pic>
                  <pic:nvPicPr>
                    <pic:cNvPr id="0" name="fig2_anomaly_exposure_response.png"/>
                    <pic:cNvPicPr/>
                  </pic:nvPicPr>
                  <pic:blipFill>
                    <a:blip r:embed="rId10"/>
                    <a:stretch>
                      <a:fillRect/>
                    </a:stretch>
                  </pic:blipFill>
                  <pic:spPr>
                    <a:xfrm>
                      <a:off x="0" y="0"/>
                      <a:ext cx="5120640" cy="3760012"/>
                    </a:xfrm>
                    <a:prstGeom prst="rect"/>
                  </pic:spPr>
                </pic:pic>
              </a:graphicData>
            </a:graphic>
          </wp:inline>
        </w:drawing>
      </w:r>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 Black-and-white version: line styles and marker shapes distinguish categories.</w:t>
      </w:r>
    </w:p>
    <w:p/>
    <w:p>
      <w:pPr>
        <w:spacing w:after="120" w:line="480" w:lineRule="auto"/>
      </w:pPr>
      <w:r>
        <w:t>The lag structure showed an acute same-day excess followed by a deficit at 1-3 days, RR 0.934 (0.902-0.967), consistent with short-term displacement (harvesting) rather than a net addition of deaths (Fig. 3; Table 2). The same-day association was essentially unchanged after adjusting for national vehicle-miles travelled and gasoline supplied (RR 1.162, 95% CI 1.132-1.193); it remained similar when we further added state population (offset), state VMT, precipitation and heat-stress metrics (RR 1.073, 95% CI 1.024-1.124), suggesting that driving volume and weather-related activity alone do not explain the effect.</w:t>
      </w:r>
    </w:p>
    <w:p/>
    <w:p>
      <w:pPr>
        <w:jc w:val="center"/>
      </w:pPr>
      <w:r>
        <w:drawing>
          <wp:inline xmlns:a="http://schemas.openxmlformats.org/drawingml/2006/main" xmlns:pic="http://schemas.openxmlformats.org/drawingml/2006/picture">
            <wp:extent cx="5120640" cy="3640399"/>
            <wp:docPr id="3" name="Picture 3"/>
            <wp:cNvGraphicFramePr>
              <a:graphicFrameLocks noChangeAspect="1"/>
            </wp:cNvGraphicFramePr>
            <a:graphic>
              <a:graphicData uri="http://schemas.openxmlformats.org/drawingml/2006/picture">
                <pic:pic>
                  <pic:nvPicPr>
                    <pic:cNvPr id="0" name="fig3_lag_response.png"/>
                    <pic:cNvPicPr/>
                  </pic:nvPicPr>
                  <pic:blipFill>
                    <a:blip r:embed="rId11"/>
                    <a:stretch>
                      <a:fillRect/>
                    </a:stretch>
                  </pic:blipFill>
                  <pic:spPr>
                    <a:xfrm>
                      <a:off x="0" y="0"/>
                      <a:ext cx="5120640" cy="3640399"/>
                    </a:xfrm>
                    <a:prstGeom prst="rect"/>
                  </pic:spPr>
                </pic:pic>
              </a:graphicData>
            </a:graphic>
          </wp:inline>
        </w:drawing>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 Black-and-white version: line styles and marker shapes distinguish categories.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(1.134-1.196)</w:t>
            </w:r>
          </w:p>
        </w:tc>
        <w:tc>
          <w:tcPr>
            <w:tcW w:type="dxa" w:w="2880"/>
          </w:tcPr>
          <w:p>
            <w:r>
              <w:t>0.940 (0.743-1.190)</w:t>
            </w:r>
          </w:p>
        </w:tc>
      </w:tr>
      <w:tr>
        <w:tc>
          <w:tcPr>
            <w:tcW w:type="dxa" w:w="2880"/>
          </w:tcPr>
          <w:p>
            <w:r>
              <w:t>1-3</w:t>
            </w:r>
          </w:p>
        </w:tc>
        <w:tc>
          <w:tcPr>
            <w:tcW w:type="dxa" w:w="2880"/>
          </w:tcPr>
          <w:p>
            <w:r>
              <w:t>0.934 (0.902-0.967)</w:t>
            </w:r>
          </w:p>
        </w:tc>
        <w:tc>
          <w:tcPr>
            <w:tcW w:type="dxa" w:w="2880"/>
          </w:tcPr>
          <w:p>
            <w:r>
              <w:t>1.146 (0.739-1.779)</w:t>
            </w:r>
          </w:p>
        </w:tc>
      </w:tr>
      <w:tr>
        <w:tc>
          <w:tcPr>
            <w:tcW w:type="dxa" w:w="2880"/>
          </w:tcPr>
          <w:p>
            <w:r>
              <w:t>4-10</w:t>
            </w:r>
          </w:p>
        </w:tc>
        <w:tc>
          <w:tcPr>
            <w:tcW w:type="dxa" w:w="2880"/>
          </w:tcPr>
          <w:p>
            <w:r>
              <w:t>0.988 (0.941-1.037)</w:t>
            </w:r>
          </w:p>
        </w:tc>
        <w:tc>
          <w:tcPr>
            <w:tcW w:type="dxa" w:w="2880"/>
          </w:tcPr>
          <w:p>
            <w:r>
              <w:t>0.521 (0.217-1.249)</w:t>
            </w:r>
          </w:p>
        </w:tc>
      </w:tr>
      <w:tr>
        <w:tc>
          <w:tcPr>
            <w:tcW w:type="dxa" w:w="2880"/>
          </w:tcPr>
          <w:p>
            <w:r>
              <w:t>Cumulative 0-10</w:t>
            </w:r>
          </w:p>
        </w:tc>
        <w:tc>
          <w:tcPr>
            <w:tcW w:type="dxa" w:w="2880"/>
          </w:tcPr>
          <w:p>
            <w:r>
              <w:t>1.074 (95% CI 1.015-1.137)</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(1.016-1.084), but much larger for open-air users: motorcyclists, RR 2.141 (2.000-2.293); pedestrians, RR 1.214 (1.145-1.286); and cyclists, RR 1.237 (1.032-1.484), a pattern consistent with direct bodily heat exposure and physical exertion.</w:t>
      </w:r>
      <w:r>
        <w:rPr>
          <w:vertAlign w:val="superscript"/>
        </w:rPr>
        <w:t>15</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(1.059-1.191); 25-64 y RR 1.177 (1.139-1.216); 65+ y RR 1.167 (1.104-1.234) (Table 3), giving no clear age gradient. Second, the excess was largest for crashes in the hottest part of the day (12-17 h), RR 1.212 (1.155-1.271), and weakest in the cool morning (06-11 h), RR 1.061 (1.000-1.127); the overnight band was also elevated (00-05 h), RR 1.179 (1.110-1.253), so the diurnal pattern is not a clean daytime-only gradient (Fig. 5). These subgroup analyses are hypothesis-generating: they involve multiple unadjusted comparisons and are not individual-level tests of susceptibility or mechanism.</w:t>
      </w:r>
    </w:p>
    <w:p/>
    <w:p>
      <w:pPr>
        <w:jc w:val="center"/>
      </w:pPr>
      <w:r>
        <w:drawing>
          <wp:inline xmlns:a="http://schemas.openxmlformats.org/drawingml/2006/main" xmlns:pic="http://schemas.openxmlformats.org/drawingml/2006/picture">
            <wp:extent cx="5120640" cy="3329646"/>
            <wp:docPr id="4" name="Picture 4"/>
            <wp:cNvGraphicFramePr>
              <a:graphicFrameLocks noChangeAspect="1"/>
            </wp:cNvGraphicFramePr>
            <a:graphic>
              <a:graphicData uri="http://schemas.openxmlformats.org/drawingml/2006/picture">
                <pic:pic>
                  <pic:nvPicPr>
                    <pic:cNvPr id="0" name="fig_us_roaduser.png"/>
                    <pic:cNvPicPr/>
                  </pic:nvPicPr>
                  <pic:blipFill>
                    <a:blip r:embed="rId12"/>
                    <a:stretch>
                      <a:fillRect/>
                    </a:stretch>
                  </pic:blipFill>
                  <pic:spPr>
                    <a:xfrm>
                      <a:off x="0" y="0"/>
                      <a:ext cx="5120640" cy="3329646"/>
                    </a:xfrm>
                    <a:prstGeom prst="rect"/>
                  </pic:spPr>
                </pic:pic>
              </a:graphicData>
            </a:graphic>
          </wp:inline>
        </w:drawing>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 This subgroup analysis is exploratory and is not adjusted for multiple comparisons. Black-and-white version: categories are distinguished by the y-axis labels.</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178,365</w:t>
            </w:r>
          </w:p>
        </w:tc>
        <w:tc>
          <w:tcPr>
            <w:tcW w:type="dxa" w:w="2880"/>
          </w:tcPr>
          <w:p>
            <w:r>
              <w:t>1.050 (1.016-1.084)</w:t>
            </w:r>
          </w:p>
        </w:tc>
      </w:tr>
      <w:tr>
        <w:tc>
          <w:tcPr>
            <w:tcW w:type="dxa" w:w="2880"/>
          </w:tcPr>
          <w:p>
            <w:r>
              <w:t>Motorcyclist</w:t>
            </w:r>
          </w:p>
        </w:tc>
        <w:tc>
          <w:tcPr>
            <w:tcW w:type="dxa" w:w="2880"/>
          </w:tcPr>
          <w:p>
            <w:r>
              <w:t>38,248</w:t>
            </w:r>
          </w:p>
        </w:tc>
        <w:tc>
          <w:tcPr>
            <w:tcW w:type="dxa" w:w="2880"/>
          </w:tcPr>
          <w:p>
            <w:r>
              <w:t>2.141 (2.000-2.293)</w:t>
            </w:r>
          </w:p>
        </w:tc>
      </w:tr>
      <w:tr>
        <w:tc>
          <w:tcPr>
            <w:tcW w:type="dxa" w:w="2880"/>
          </w:tcPr>
          <w:p>
            <w:r>
              <w:t>Pedestrian</w:t>
            </w:r>
          </w:p>
        </w:tc>
        <w:tc>
          <w:tcPr>
            <w:tcW w:type="dxa" w:w="2880"/>
          </w:tcPr>
          <w:p>
            <w:r>
              <w:t>46,022</w:t>
            </w:r>
          </w:p>
        </w:tc>
        <w:tc>
          <w:tcPr>
            <w:tcW w:type="dxa" w:w="2880"/>
          </w:tcPr>
          <w:p>
            <w:r>
              <w:t>1.214 (1.145-1.286)</w:t>
            </w:r>
          </w:p>
        </w:tc>
      </w:tr>
      <w:tr>
        <w:tc>
          <w:tcPr>
            <w:tcW w:type="dxa" w:w="2880"/>
          </w:tcPr>
          <w:p>
            <w:r>
              <w:t>Cyclist</w:t>
            </w:r>
          </w:p>
        </w:tc>
        <w:tc>
          <w:tcPr>
            <w:tcW w:type="dxa" w:w="2880"/>
          </w:tcPr>
          <w:p>
            <w:r>
              <w:t>6,356</w:t>
            </w:r>
          </w:p>
        </w:tc>
        <w:tc>
          <w:tcPr>
            <w:tcW w:type="dxa" w:w="2880"/>
          </w:tcPr>
          <w:p>
            <w:r>
              <w:t>1.237 (1.032-1.484)</w:t>
            </w:r>
          </w:p>
        </w:tc>
      </w:tr>
      <w:tr>
        <w:tc>
          <w:tcPr>
            <w:tcW w:type="dxa" w:w="2880"/>
          </w:tcPr>
          <w:p>
            <w:r>
              <w:t>Age &lt;25 y</w:t>
            </w:r>
          </w:p>
        </w:tc>
        <w:tc>
          <w:tcPr>
            <w:tcW w:type="dxa" w:w="2880"/>
          </w:tcPr>
          <w:p>
            <w:r>
              <w:t>54,003</w:t>
            </w:r>
          </w:p>
        </w:tc>
        <w:tc>
          <w:tcPr>
            <w:tcW w:type="dxa" w:w="2880"/>
          </w:tcPr>
          <w:p>
            <w:r>
              <w:t>1.123 (1.059-1.191)</w:t>
            </w:r>
          </w:p>
        </w:tc>
      </w:tr>
      <w:tr>
        <w:tc>
          <w:tcPr>
            <w:tcW w:type="dxa" w:w="2880"/>
          </w:tcPr>
          <w:p>
            <w:r>
              <w:t>Age 25-64 y</w:t>
            </w:r>
          </w:p>
        </w:tc>
        <w:tc>
          <w:tcPr>
            <w:tcW w:type="dxa" w:w="2880"/>
          </w:tcPr>
          <w:p>
            <w:r>
              <w:t>166,699</w:t>
            </w:r>
          </w:p>
        </w:tc>
        <w:tc>
          <w:tcPr>
            <w:tcW w:type="dxa" w:w="2880"/>
          </w:tcPr>
          <w:p>
            <w:r>
              <w:t>1.177 (1.139-1.216)</w:t>
            </w:r>
          </w:p>
        </w:tc>
      </w:tr>
      <w:tr>
        <w:tc>
          <w:tcPr>
            <w:tcW w:type="dxa" w:w="2880"/>
          </w:tcPr>
          <w:p>
            <w:r>
              <w:t>Age 65+ y</w:t>
            </w:r>
          </w:p>
        </w:tc>
        <w:tc>
          <w:tcPr>
            <w:tcW w:type="dxa" w:w="2880"/>
          </w:tcPr>
          <w:p>
            <w:r>
              <w:t>49,680</w:t>
            </w:r>
          </w:p>
        </w:tc>
        <w:tc>
          <w:tcPr>
            <w:tcW w:type="dxa" w:w="2880"/>
          </w:tcPr>
          <w:p>
            <w:r>
              <w:t>1.167 (1.104-1.234)</w:t>
            </w:r>
          </w:p>
        </w:tc>
      </w:tr>
    </w:tbl>
    <w:p/>
    <w:p/>
    <w:p>
      <w:pPr>
        <w:jc w:val="center"/>
      </w:pPr>
      <w:r>
        <w:drawing>
          <wp:inline xmlns:a="http://schemas.openxmlformats.org/drawingml/2006/main" xmlns:pic="http://schemas.openxmlformats.org/drawingml/2006/picture">
            <wp:extent cx="5120640" cy="3874497"/>
            <wp:docPr id="5" name="Picture 5"/>
            <wp:cNvGraphicFramePr>
              <a:graphicFrameLocks noChangeAspect="1"/>
            </wp:cNvGraphicFramePr>
            <a:graphic>
              <a:graphicData uri="http://schemas.openxmlformats.org/drawingml/2006/picture">
                <pic:pic>
                  <pic:nvPicPr>
                    <pic:cNvPr id="0" name="fig_us_timeofday.png"/>
                    <pic:cNvPicPr/>
                  </pic:nvPicPr>
                  <pic:blipFill>
                    <a:blip r:embed="rId13"/>
                    <a:stretch>
                      <a:fillRect/>
                    </a:stretch>
                  </pic:blipFill>
                  <pic:spPr>
                    <a:xfrm>
                      <a:off x="0" y="0"/>
                      <a:ext cx="5120640" cy="3874497"/>
                    </a:xfrm>
                    <a:prstGeom prst="rect"/>
                  </pic:spPr>
                </pic:pic>
              </a:graphicData>
            </a:graphic>
          </wp:inline>
        </w:drawing>
      </w:r>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 This subgroup analysis is exploratory and is not adjusted for multiple comparisons. Black-and-white version: the 12-17 h point is filled and the others are open to highlight the peak band.</w:t>
      </w:r>
    </w:p>
    <w:p/>
    <w:p>
      <w:pPr>
        <w:spacing w:after="120" w:line="480" w:lineRule="auto"/>
      </w:pPr>
      <w:r>
        <w:t>Net heat-attributable crash deaths were 513 per year (95% CI 410-615), an attributable fraction of 1.33% (Fig. 6; Table 4). This is of the same order as the 527 officially recorded direct-heat deaths per year (ICD-10 X30, 2016-2020; Fig. 7), so a heat contribution to road deaths on the scale of recorded direct-heat mortality could go unrecorded in cause-of-death statistics.</w:t>
      </w:r>
    </w:p>
    <w:p/>
    <w:p>
      <w:pPr>
        <w:jc w:val="center"/>
      </w:pPr>
      <w:r>
        <w:drawing>
          <wp:inline xmlns:a="http://schemas.openxmlformats.org/drawingml/2006/main" xmlns:pic="http://schemas.openxmlformats.org/drawingml/2006/picture">
            <wp:extent cx="5120640" cy="3918339"/>
            <wp:docPr id="6" name="Picture 6"/>
            <wp:cNvGraphicFramePr>
              <a:graphicFrameLocks noChangeAspect="1"/>
            </wp:cNvGraphicFramePr>
            <a:graphic>
              <a:graphicData uri="http://schemas.openxmlformats.org/drawingml/2006/picture">
                <pic:pic>
                  <pic:nvPicPr>
                    <pic:cNvPr id="0" name="fig4_attributable_by_year.png"/>
                    <pic:cNvPicPr/>
                  </pic:nvPicPr>
                  <pic:blipFill>
                    <a:blip r:embed="rId14"/>
                    <a:stretch>
                      <a:fillRect/>
                    </a:stretch>
                  </pic:blipFill>
                  <pic:spPr>
                    <a:xfrm>
                      <a:off x="0" y="0"/>
                      <a:ext cx="5120640" cy="3918339"/>
                    </a:xfrm>
                    <a:prstGeom prst="rect"/>
                  </pic:spPr>
                </pic:pic>
              </a:graphicData>
            </a:graphic>
          </wp:inline>
        </w:drawing>
      </w:r>
    </w:p>
    <w:p>
      <w:pPr>
        <w:spacing w:before="280"/>
      </w:pPr>
      <w:r>
        <w:rPr>
          <w:b/>
        </w:rPr>
        <w:t xml:space="preserve">Figure 6. </w:t>
      </w:r>
      <w:r>
        <w:t>United States estimated net heat-attributable crash deaths per year, 2016-2022. Black-and-white version: line styles and marker shapes distinguish categories.</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513</w:t>
            </w:r>
          </w:p>
        </w:tc>
      </w:tr>
      <w:tr>
        <w:tc>
          <w:tcPr>
            <w:tcW w:type="dxa" w:w="4320"/>
          </w:tcPr>
          <w:p>
            <w:r>
              <w:t>Attributable fraction (%)</w:t>
            </w:r>
          </w:p>
        </w:tc>
        <w:tc>
          <w:tcPr>
            <w:tcW w:type="dxa" w:w="4320"/>
          </w:tcPr>
          <w:p>
            <w:r>
              <w:t>1.33</w:t>
            </w:r>
          </w:p>
        </w:tc>
      </w:tr>
      <w:tr>
        <w:tc>
          <w:tcPr>
            <w:tcW w:type="dxa" w:w="4320"/>
          </w:tcPr>
          <w:p>
            <w:r>
              <w:t>Official direct-heat deaths / year (X30, 2016-2020)</w:t>
            </w:r>
          </w:p>
        </w:tc>
        <w:tc>
          <w:tcPr>
            <w:tcW w:type="dxa" w:w="4320"/>
          </w:tcPr>
          <w:p>
            <w:r>
              <w:t>527</w:t>
            </w:r>
          </w:p>
        </w:tc>
      </w:tr>
    </w:tbl>
    <w:p/>
    <w:p/>
    <w:p>
      <w:pPr>
        <w:jc w:val="center"/>
      </w:pPr>
      <w:r>
        <w:drawing>
          <wp:inline xmlns:a="http://schemas.openxmlformats.org/drawingml/2006/main" xmlns:pic="http://schemas.openxmlformats.org/drawingml/2006/picture">
            <wp:extent cx="5120640" cy="3889368"/>
            <wp:docPr id="7" name="Picture 7"/>
            <wp:cNvGraphicFramePr>
              <a:graphicFrameLocks noChangeAspect="1"/>
            </wp:cNvGraphicFramePr>
            <a:graphic>
              <a:graphicData uri="http://schemas.openxmlformats.org/drawingml/2006/picture">
                <pic:pic>
                  <pic:nvPicPr>
                    <pic:cNvPr id="0" name="fig5_hidden_vs_official.png"/>
                    <pic:cNvPicPr/>
                  </pic:nvPicPr>
                  <pic:blipFill>
                    <a:blip r:embed="rId15"/>
                    <a:stretch>
                      <a:fillRect/>
                    </a:stretch>
                  </pic:blipFill>
                  <pic:spPr>
                    <a:xfrm>
                      <a:off x="0" y="0"/>
                      <a:ext cx="5120640" cy="3889368"/>
                    </a:xfrm>
                    <a:prstGeom prst="rect"/>
                  </pic:spPr>
                </pic:pic>
              </a:graphicData>
            </a:graphic>
          </wp:inline>
        </w:drawing>
      </w:r>
    </w:p>
    <w:p>
      <w:pPr>
        <w:spacing w:before="280"/>
      </w:pPr>
      <w:r>
        <w:rPr>
          <w:b/>
        </w:rPr>
        <w:t xml:space="preserve">Figure 7. </w:t>
      </w:r>
      <w:r>
        <w:t>United States comparison of estimated net heat-attributable crash deaths per year with officially recorded direct-heat deaths (ICD-10 X30) from CDC WONDER. Black-and-white version: the right-hand (estimate) bar is hatched to distinguish it from the left-hand (official) bar.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16</w:t>
      </w:r>
      <w:r>
        <w:t xml:space="preserve"> A uniform +1 °C shift projected 339 additional US crash deaths per year (95% CI 250-428), rising to 984 (644-1357) at +3 °C (Fig. 8; Table 5). These are scenario projections, not observed quantities, and assume the anomaly response is stable under a warmer mean climate.</w:t>
      </w:r>
    </w:p>
    <w:p/>
    <w:p>
      <w:pPr>
        <w:jc w:val="center"/>
      </w:pPr>
      <w:r>
        <w:drawing>
          <wp:inline xmlns:a="http://schemas.openxmlformats.org/drawingml/2006/main" xmlns:pic="http://schemas.openxmlformats.org/drawingml/2006/picture">
            <wp:extent cx="5120640" cy="3852943"/>
            <wp:docPr id="8" name="Picture 8"/>
            <wp:cNvGraphicFramePr>
              <a:graphicFrameLocks noChangeAspect="1"/>
            </wp:cNvGraphicFramePr>
            <a:graphic>
              <a:graphicData uri="http://schemas.openxmlformats.org/drawingml/2006/picture">
                <pic:pic>
                  <pic:nvPicPr>
                    <pic:cNvPr id="0" name="fig_us_projection.png"/>
                    <pic:cNvPicPr/>
                  </pic:nvPicPr>
                  <pic:blipFill>
                    <a:blip r:embed="rId16"/>
                    <a:stretch>
                      <a:fillRect/>
                    </a:stretch>
                  </pic:blipFill>
                  <pic:spPr>
                    <a:xfrm>
                      <a:off x="0" y="0"/>
                      <a:ext cx="5120640" cy="3852943"/>
                    </a:xfrm>
                    <a:prstGeom prst="rect"/>
                  </pic:spPr>
                </pic:pic>
              </a:graphicData>
            </a:graphic>
          </wp:inline>
        </w:drawing>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 Black-and-white version: line styles and marker shapes distinguish categories.</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339 (250-428)</w:t>
            </w:r>
          </w:p>
        </w:tc>
      </w:tr>
      <w:tr>
        <w:tc>
          <w:tcPr>
            <w:tcW w:type="dxa" w:w="4320"/>
          </w:tcPr>
          <w:p>
            <w:r>
              <w:t>+2°C</w:t>
            </w:r>
          </w:p>
        </w:tc>
        <w:tc>
          <w:tcPr>
            <w:tcW w:type="dxa" w:w="4320"/>
          </w:tcPr>
          <w:p>
            <w:r>
              <w:t>662 (459-864)</w:t>
            </w:r>
          </w:p>
        </w:tc>
      </w:tr>
      <w:tr>
        <w:tc>
          <w:tcPr>
            <w:tcW w:type="dxa" w:w="4320"/>
          </w:tcPr>
          <w:p>
            <w:r>
              <w:t>+3°C</w:t>
            </w:r>
          </w:p>
        </w:tc>
        <w:tc>
          <w:tcPr>
            <w:tcW w:type="dxa" w:w="4320"/>
          </w:tcPr>
          <w:p>
            <w:r>
              <w:t>984 (644-1357)</w:t>
            </w:r>
          </w:p>
        </w:tc>
      </w:tr>
    </w:tbl>
    <w:p/>
    <w:p>
      <w:pPr>
        <w:pStyle w:val="Heading2"/>
      </w:pPr>
      <w:r>
        <w:t>Exploratory external validation: Japan comparison</w:t>
      </w:r>
    </w:p>
    <w:p>
      <w:pPr>
        <w:spacing w:after="120" w:line="480" w:lineRule="auto"/>
      </w:pPr>
      <w:r>
        <w:t>We did not pool the Japanese estimates with the US estimates; the comparison is presented only as an exploratory external validation. 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
      <w:pPr>
        <w:jc w:val="center"/>
      </w:pPr>
      <w:r>
        <w:drawing>
          <wp:inline xmlns:a="http://schemas.openxmlformats.org/drawingml/2006/main" xmlns:pic="http://schemas.openxmlformats.org/drawingml/2006/picture">
            <wp:extent cx="5120640" cy="3660652"/>
            <wp:docPr id="9" name="Picture 9"/>
            <wp:cNvGraphicFramePr>
              <a:graphicFrameLocks noChangeAspect="1"/>
            </wp:cNvGraphicFramePr>
            <a:graphic>
              <a:graphicData uri="http://schemas.openxmlformats.org/drawingml/2006/picture">
                <pic:pic>
                  <pic:nvPicPr>
                    <pic:cNvPr id="0" name="jp_fig2_anomaly_exposure_response.png"/>
                    <pic:cNvPicPr/>
                  </pic:nvPicPr>
                  <pic:blipFill>
                    <a:blip r:embed="rId17"/>
                    <a:stretch>
                      <a:fillRect/>
                    </a:stretch>
                  </pic:blipFill>
                  <pic:spPr>
                    <a:xfrm>
                      <a:off x="0" y="0"/>
                      <a:ext cx="5120640" cy="3660652"/>
                    </a:xfrm>
                    <a:prstGeom prst="rect"/>
                  </pic:spPr>
                </pic:pic>
              </a:graphicData>
            </a:graphic>
          </wp:inline>
        </w:drawing>
      </w:r>
    </w:p>
    <w:p>
      <w:pPr>
        <w:spacing w:before="280"/>
      </w:pPr>
      <w:r>
        <w:rPr>
          <w:b/>
        </w:rPr>
        <w:t xml:space="preserve">Figure 9. </w:t>
      </w:r>
      <w:r>
        <w:t>Japan temperature-anomaly exposure-response (2019-2024). The estimate is imprecise: the confidence band is wide and includes the null throughout. Black-and-white version: line styles and marker shapes distinguish categories.</w:t>
      </w:r>
    </w:p>
    <w:p/>
    <w:p/>
    <w:p>
      <w:pPr>
        <w:jc w:val="center"/>
      </w:pPr>
      <w:r>
        <w:drawing>
          <wp:inline xmlns:a="http://schemas.openxmlformats.org/drawingml/2006/main" xmlns:pic="http://schemas.openxmlformats.org/drawingml/2006/picture">
            <wp:extent cx="5120640" cy="3761953"/>
            <wp:docPr id="10" name="Picture 10"/>
            <wp:cNvGraphicFramePr>
              <a:graphicFrameLocks noChangeAspect="1"/>
            </wp:cNvGraphicFramePr>
            <a:graphic>
              <a:graphicData uri="http://schemas.openxmlformats.org/drawingml/2006/picture">
                <pic:pic>
                  <pic:nvPicPr>
                    <pic:cNvPr id="0" name="cross_fig_us_vs_japan_sameday.png"/>
                    <pic:cNvPicPr/>
                  </pic:nvPicPr>
                  <pic:blipFill>
                    <a:blip r:embed="rId18"/>
                    <a:stretch>
                      <a:fillRect/>
                    </a:stretch>
                  </pic:blipFill>
                  <pic:spPr>
                    <a:xfrm>
                      <a:off x="0" y="0"/>
                      <a:ext cx="5120640" cy="3761953"/>
                    </a:xfrm>
                    <a:prstGeom prst="rect"/>
                  </pic:spPr>
                </pic:pic>
              </a:graphicData>
            </a:graphic>
          </wp:inline>
        </w:drawing>
      </w:r>
    </w:p>
    <w:p>
      <w:pPr>
        <w:spacing w:before="280"/>
      </w:pPr>
      <w:r>
        <w:rPr>
          <w:b/>
        </w:rPr>
        <w:t xml:space="preserve">Figure 10. </w:t>
      </w:r>
      <w:r>
        <w:t>Same-day rate ratio of traffic-crash deaths for a +9 °C anomaly, United States versus Japan. The US shows a precise acute effect; the Japanese estimate is underpowered. This comparison is exploratory and is not adjusted for multiple comparisons. Black-and-white version: US (square) and Japan (circle) estimates use different marker shapes.</w:t>
      </w:r>
    </w:p>
    <w:p/>
    <w:p>
      <w:pPr>
        <w:pStyle w:val="Heading1"/>
      </w:pPr>
      <w:r>
        <w:t>Discussion</w:t>
      </w:r>
    </w:p>
    <w:p>
      <w:pPr>
        <w:spacing w:after="120" w:line="480" w:lineRule="auto"/>
      </w:pPr>
      <w:r>
        <w:t>A +9 °C temperature anomaly was associated with a same-day rate ratio of 1.165 (95% CI 1.134-1.196) for US traffic-crash deaths, and the net annual heat-attributable burden was 513 deaths (95% CI 410-615), similar to the 527 officially recorded direct-heat deaths per year. This acute, same-day excess was not explained by aggregate driving activity, and it remained after additionally controlling for state population (offset), state VMT, precipitation and heat-stress metrics (RR 1.073 [1.024-1.124]), although the cumulative 0-10 day estimate became imprecise in that richer specification.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3,4</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Shared e-scooter and e-bike fleets and public bikeshare systems should also be considered: batteries, motors and tyres are heat-stressed, increasing the risk of sudden power loss or brake failure, while docking and charging points without shade expose users and maintenance staff to thermal load during check-out, parking and battery swap. Service operators could temporarily reduce or suspend rentals above high-temperature thresholds, relocate or shade docking and charging infrastructure, and integrate heat warnings into app-based routing. Linking shared-mobility heat alerts with public transit and cooled shelter maps would help preserve access for users who depend on these modes, particularly in low-income neighbourhoods where private air-conditioned transport is less available.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neither FARS nor NPA records post-mortem heat diagnosis. Second, exposure is measured at the state/prefecture level from the nearest GHCN-Daily station; this misclassifies individual exposure and does not capture sub-unit variation such as urban heat islands. We therefore added state population as an offset and evaluated GHCN-derived humidity, heat-index and estimated wet-bulb globe temperature metrics in sensitivity models, but these station-based heat-stress measures still do not measure personal exposure. Third, activity adjustment used national monthly proxies for the main model and annual state VMT for the sensitivity model; neither is daily, mode-specific or shared-mobility-specific, and daily state-level or mode-specific activity could alter the road-user and time-of-day gradients. In particular, publicly available daily national counts of pedestrian, bicycle and shared-mobility trips are not available, so we cannot directly separate a weather-related activity shift from a physiological or mechanical heat effect for those modes. Fourth, the Japanese analysis is an exploratory external validation only; its shorter series, far smaller death counts and sparser GHCN-Daily coverage preclude a precise estimate, and we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Seventh, the quasi-Poisson model accounts for overdispersion but does not include an explicit autoregressive error term; although the distributed-lag, seasonal, trend and day-of-week controls absorb much short-term temporal autocorrelation, unmodelled residual serial correlation could affect confidence intervals.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Contributors</w:t>
      </w:r>
    </w:p>
    <w:p>
      <w:pPr>
        <w:spacing w:after="120" w:line="480" w:lineRule="auto"/>
      </w:pPr>
      <w:r>
        <w:t>Tatsuki Onishi conceived the study, performed the analysis, drafted the manuscript, and approved the final version. The author had full access to all data and verified the reported results.</w:t>
      </w:r>
    </w:p>
    <w:p>
      <w:pPr>
        <w:pStyle w:val="Heading1"/>
      </w:pPr>
      <w:r>
        <w:t>Declaration of competing interests</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Declaration of generative AI use</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availability</w:t>
      </w:r>
    </w:p>
    <w:p>
      <w:pPr>
        <w:spacing w:after="120" w:line="480" w:lineRule="auto"/>
      </w:pPr>
      <w:r>
        <w:t>All data are public: FARS, GHCN-Daily, CDC WONDER, US Census Bureau Population Estimates Program, FHWA Highway Statistics VM-2, FHWA/FRED, EIA and the Japanese NPA accident open data (see References for sources). Processed data files are provided in the repository so the manuscript and figures can be regenerated without API keys. The complete analysis code and reproducible pipeline (make all for raw data and figures, then make ehp for the EHP submission package) is openly available at https://github.com/bougtoir/heat-accidents-mortality;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Liang M, Min M, Guo X, Song Q, Wang H, Li N, et al. The relationship between ambient temperatures and road traffic injuries: a systematic review and meta-analysis. Environ Sci Pollut Res 2022;29(33):50647-60.</w:t>
      </w:r>
    </w:p>
    <w:p>
      <w:pPr>
        <w:spacing w:after="80"/>
      </w:pPr>
      <w:r>
        <w:t>4. Liang M, Zhao D, Wu Y, Ye P, Wang Y, Yao Z, et al. Short-term effects of ambient temperature and road traffic accident injuries in Dalian, Northern China: A distributed lag non-linear analysis. Accid Anal Prev 2021;153:106057.</w:t>
      </w:r>
    </w:p>
    <w:p>
      <w:pPr>
        <w:spacing w:after="80"/>
      </w:pPr>
      <w:r>
        <w:t>5. National Highway Traffic Safety Administration. Fatality Analysis Reporting System (FARS). US Department of Transportation. https://www.nhtsa.gov/research-data/fatality-analysis-reporting-system-fars</w:t>
      </w:r>
    </w:p>
    <w:p>
      <w:pPr>
        <w:spacing w:after="80"/>
      </w:pPr>
      <w:r>
        <w:t>6. National Police Agency of Japan. Traffic accident statistics open data. https://www.npa.go.jp/publications/statistics/koutsuu/opendata/</w:t>
      </w:r>
    </w:p>
    <w:p>
      <w:pPr>
        <w:spacing w:after="80"/>
      </w:pPr>
      <w:r>
        <w:t>7. Menne MJ, Durre I, Vose RS, Gleason BE, Houston TG. An overview of the Global Historical Climatology Network-Daily database. J Atmos Ocean Technol 2012;29:897-910.</w:t>
      </w:r>
    </w:p>
    <w:p>
      <w:pPr>
        <w:spacing w:after="80"/>
      </w:pPr>
      <w:r>
        <w:t>8. Gasparrini A, Armstrong B, Kenward MG. Distributed lag non-linear models. Stat Med 2010;29:2224-34.</w:t>
      </w:r>
    </w:p>
    <w:p>
      <w:pPr>
        <w:spacing w:after="80"/>
      </w:pPr>
      <w:r>
        <w:t>9. Gasparrini A, Leone M. Attributable risk from distributed lag models. BMC Med Res Methodol 2014;14:55.</w:t>
      </w:r>
    </w:p>
    <w:p>
      <w:pPr>
        <w:spacing w:after="80"/>
      </w:pPr>
      <w:r>
        <w:t>10. Federal Highway Administration. Traffic Volume Trends. https://www.fhwa.dot.gov/policyinformation/travel_monitoring/tvt.cfm</w:t>
      </w:r>
    </w:p>
    <w:p>
      <w:pPr>
        <w:spacing w:after="80"/>
      </w:pPr>
      <w:r>
        <w:t>11. US Energy Information Administration. Weekly finished motor gasoline product supplied (PET.WGFUPUS2.W). https://www.eia.gov/</w:t>
      </w:r>
    </w:p>
    <w:p>
      <w:pPr>
        <w:spacing w:after="80"/>
      </w:pPr>
      <w:r>
        <w:t>12. US Census Bureau. Population Estimates Program. Annual state population estimates. https://www.census.gov/programs-surveys/popest.html</w:t>
      </w:r>
    </w:p>
    <w:p>
      <w:pPr>
        <w:spacing w:after="80"/>
      </w:pPr>
      <w:r>
        <w:t>13. Federal Highway Administration. Highway Statistics VM-2: Annual state vehicle-miles travelled. https://www.fhwa.dot.gov/policyinformation/statistics.cfm</w:t>
      </w:r>
    </w:p>
    <w:p>
      <w:pPr>
        <w:spacing w:after="80"/>
      </w:pPr>
      <w:r>
        <w:t>14. Centers for Disease Control and Prevention. CDC WONDER Underlying Cause of Death database. https://wonder.cdc.gov/</w:t>
      </w:r>
    </w:p>
    <w:p>
      <w:pPr>
        <w:spacing w:after="80"/>
      </w:pPr>
      <w:r>
        <w:t>15. Daanen HAM, van de Vliert E, Huang X. Driving performance in cold, warm, and thermoneutral environments. Appl Ergon 2003;34:597-602.</w:t>
      </w:r>
    </w:p>
    <w:p>
      <w:pPr>
        <w:spacing w:after="80"/>
      </w:pPr>
      <w:r>
        <w:t>16. IPCC. Climate Change 2021: The Physical Science Basis. Contribution of Working Group I to the Sixth Assessment Report of the Intergovernmental Panel on Climate Change. Cambridge: Cambridge University Press;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