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9739</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10187.43 and a conservative, non-standard MAPE of 130.4%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will be made available in a public repository upon acceptance.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The annual dropout rate was capped at 1.5 times the cohort-level per-year hazard to prevent extrapolation beyond observed career attrition.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9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9.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9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