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b w:val="0"/>
          <w:i/>
          <w:sz w:val="24"/>
        </w:rPr>
        <w:t>[Corresponding author name]</w:t>
      </w:r>
    </w:p>
    <w:p>
      <w:pPr>
        <w:jc w:val="right"/>
      </w:pPr>
      <w:r>
        <w:rPr>
          <w:rFonts w:ascii="Times New Roman" w:hAnsi="Times New Roman"/>
          <w:b w:val="0"/>
          <w:i/>
          <w:sz w:val="24"/>
        </w:rPr>
        <w:t>[Affiliation]</w:t>
      </w:r>
    </w:p>
    <w:p>
      <w:pPr>
        <w:jc w:val="right"/>
      </w:pPr>
      <w:r>
        <w:rPr>
          <w:rFonts w:ascii="Times New Roman" w:hAnsi="Times New Roman"/>
          <w:b w:val="0"/>
          <w:i/>
          <w:sz w:val="24"/>
        </w:rPr>
        <w:t>[Postal address]</w:t>
      </w:r>
    </w:p>
    <w:p>
      <w:pPr>
        <w:jc w:val="right"/>
      </w:pPr>
      <w:r>
        <w:rPr>
          <w:rFonts w:ascii="Times New Roman" w:hAnsi="Times New Roman"/>
          <w:b w:val="0"/>
          <w:i/>
          <w:sz w:val="24"/>
        </w:rPr>
        <w:t>[Email]  |  [Telephone]</w:t>
      </w:r>
    </w:p>
    <w:p>
      <w:pPr>
        <w:jc w:val="right"/>
      </w:pPr>
      <w:r>
        <w:rPr>
          <w:rFonts w:ascii="Times New Roman" w:hAnsi="Times New Roman"/>
          <w:b w:val="0"/>
          <w:i/>
          <w:sz w:val="24"/>
        </w:rPr>
        <w:t>[Date]</w:t>
      </w:r>
    </w:p>
    <w:p/>
    <w:p>
      <w:r>
        <w:rPr>
          <w:rFonts w:ascii="Times New Roman" w:hAnsi="Times New Roman"/>
          <w:b w:val="0"/>
          <w:i w:val="0"/>
          <w:sz w:val="24"/>
        </w:rPr>
        <w:t>The Editor-in-Chief</w:t>
      </w:r>
    </w:p>
    <w:p>
      <w:r>
        <w:rPr>
          <w:rFonts w:ascii="Times New Roman" w:hAnsi="Times New Roman"/>
          <w:b w:val="0"/>
          <w:i w:val="0"/>
          <w:sz w:val="24"/>
        </w:rPr>
        <w:t>Journal of Epidemiology &amp; Community Health</w:t>
      </w:r>
    </w:p>
    <w:p>
      <w:r>
        <w:rPr>
          <w:rFonts w:ascii="Times New Roman" w:hAnsi="Times New Roman"/>
          <w:b w:val="0"/>
          <w:i w:val="0"/>
          <w:sz w:val="24"/>
        </w:rPr>
        <w:t>BMJ Publishing Group</w:t>
      </w:r>
    </w:p>
    <w:p/>
    <w:p>
      <w:r>
        <w:rPr>
          <w:rFonts w:ascii="Times New Roman" w:hAnsi="Times New Roman"/>
          <w:b w:val="0"/>
          <w:i w:val="0"/>
          <w:sz w:val="24"/>
        </w:rPr>
        <w:t>Dear Editor,</w:t>
      </w:r>
    </w:p>
    <w:p/>
    <w:p>
      <w:r>
        <w:rPr>
          <w:rFonts w:ascii="Times New Roman" w:hAnsi="Times New Roman"/>
          <w:b w:val="0"/>
          <w:i w:val="0"/>
          <w:sz w:val="24"/>
        </w:rPr>
        <w:t>I am pleased to submit for your consideration the enclosed original research article entitled "Regional variation in anaesthesia practice under universal coverage in Japan: a cross-sectional ecological study of secondary medical areas" for possible publication in the Journal of Epidemiology &amp; Community Health as an Original Research Article.</w:t>
      </w:r>
    </w:p>
    <w:p>
      <w:r>
        <w:rPr>
          <w:rFonts w:ascii="Times New Roman" w:hAnsi="Times New Roman"/>
          <w:b w:val="0"/>
          <w:i w:val="0"/>
          <w:sz w:val="24"/>
        </w:rPr>
        <w:t>The manuscript addresses a question at the intersection of health-services epidemiology and public health policy: when routine administrative claims data show large geographic variation in anaesthesia practice, does this reflect real differences in service delivery, or is it an artefact of differential coding and auditing? Japan's uniform national fee schedule combined with prefecture-specific claims auditing provides a natural experiment for separating these explanations. Using multilevel modelling and three pre-specified sensitivity analyses, we show that the observed variation is predominantly structural -- driven by access to university hospitals -- rather than an audit artefact. We therefore believe the paper is a strong fit for the Journal's interest in population health, health-system performance and small-area variation, and for its broad international public health readership.</w:t>
      </w:r>
    </w:p>
    <w:p>
      <w:r>
        <w:rPr>
          <w:rFonts w:ascii="Times New Roman" w:hAnsi="Times New Roman"/>
          <w:b w:val="0"/>
          <w:i w:val="0"/>
          <w:sz w:val="24"/>
        </w:rPr>
        <w:t>Key findings: We studied all 335 secondary medical areas of Japan nested within 47 prefectures. Coefficients of variation for age- and sex-standardised claim ratios ranged from 53.7% (general anaesthesia) to 87.2% (epidural anaesthesia). For general anaesthesia, only 0.058 of variance lay between prefectures -- where audit policy differs -- while 85.5% occurred within prefectures where audit policy is uniform. University hospital presence alone explained 0.358 of total variance and was positive in all 47 prefectures, with a large effect size (Cohen's d 1.88). Sensitivity analyses for maximum plausible audit impact, within-prefecture variance decomposition, and code correlations converged in rejecting differential auditing as the main explanation; empirical Bayes shrinkage confirmed robustness to low-volume instability.</w:t>
      </w:r>
    </w:p>
    <w:p>
      <w:r>
        <w:rPr>
          <w:rFonts w:ascii="Times New Roman" w:hAnsi="Times New Roman"/>
          <w:b w:val="0"/>
          <w:i w:val="0"/>
          <w:sz w:val="24"/>
        </w:rPr>
        <w:t>The manuscript is original, has not been previously published and is not under consideration for publication elsewhere. All authors have read and approved the submitted manuscript and have agreed to its submission to the Journal of Epidemiology &amp; Community Health. The study used publicly available aggregate data only; ethics committee approval was not required under the Japanese Ethical Guidelines for Medical and Biological Research Involving Human Subjects (2021 revision). The reporting follows the STROBE checklist for cross-sectional studies, which is uploaded as supplementary material.</w:t>
      </w:r>
    </w:p>
    <w:p>
      <w:r>
        <w:rPr>
          <w:rFonts w:ascii="Times New Roman" w:hAnsi="Times New Roman"/>
          <w:b w:val="0"/>
          <w:i w:val="0"/>
          <w:sz w:val="24"/>
        </w:rPr>
        <w:t>Statistical analysis: the lead author, who has training in clinical epidemiology and statistics, performed the analyses and takes full responsibility for them. No professional statistician outside the author list was consulted. The contribution of artificial intelligence tooling (use of Devin / Cognition AI as a coding assistant for data processing, statistical modelling and visualisation, with all scientific interpretation performed by the human authors) is declared in the Contributorship section of the End-Matter file.</w:t>
      </w:r>
    </w:p>
    <w:p>
      <w:r>
        <w:rPr>
          <w:rFonts w:ascii="Times New Roman" w:hAnsi="Times New Roman"/>
          <w:b w:val="0"/>
          <w:i w:val="0"/>
          <w:sz w:val="24"/>
        </w:rPr>
        <w:t>The manuscript is within the Journal of Epidemiology &amp; Community Health length requirements for an Original Research Article (main text approximately 3,400 words; structured abstract within 250 words; 3 tables and 2 figures; 21 references). We have uploaded a separate title page, the anonymised main manuscript, End-Matter (Contributorship, Ethics, Funding, Conflict of interests, Acknowledgments, Data Availability) and the STROBE checklist.</w:t>
      </w:r>
    </w:p>
    <w:p>
      <w:r>
        <w:rPr>
          <w:rFonts w:ascii="Times New Roman" w:hAnsi="Times New Roman"/>
          <w:b w:val="0"/>
          <w:i w:val="0"/>
          <w:sz w:val="24"/>
        </w:rPr>
        <w:t>We believe our work will be of substantive interest to the Journal's international audience of epidemiologists, public health researchers and health-system decision-makers, and we look forward to the reviewers' comments. Please do not hesitate to contact me if any further information is required.</w:t>
      </w:r>
    </w:p>
    <w:p/>
    <w:p>
      <w:r>
        <w:rPr>
          <w:rFonts w:ascii="Times New Roman" w:hAnsi="Times New Roman"/>
          <w:b w:val="0"/>
          <w:i w:val="0"/>
          <w:sz w:val="24"/>
        </w:rPr>
        <w:t>Yours sincerely,</w:t>
      </w:r>
    </w:p>
    <w:p/>
    <w:p>
      <w:r>
        <w:rPr>
          <w:rFonts w:ascii="Times New Roman" w:hAnsi="Times New Roman"/>
          <w:b w:val="0"/>
          <w:i w:val="0"/>
          <w:sz w:val="24"/>
        </w:rPr>
        <w:t>[Signature]</w:t>
      </w:r>
    </w:p>
    <w:p>
      <w:r>
        <w:rPr>
          <w:rFonts w:ascii="Times New Roman" w:hAnsi="Times New Roman"/>
          <w:b w:val="0"/>
          <w:i/>
          <w:sz w:val="24"/>
        </w:rPr>
        <w:t>[Corresponding author name], on behalf of all authors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