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rPr>
          <w:sz w:val="22"/>
        </w:rP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Multivariate logistic regression confirms that external threat and institutional quality are the strongest predictors of collapse, while the stock–flow odds ratio (OR = 1.774) remains stable across all scenarios.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maritime closure; state collapse; technological access; sensitivity analysis</w:t>
      </w:r>
    </w:p>
    <w:p>
      <w:r>
        <w:rPr>
          <w:b/>
        </w:rPr>
        <w:t xml:space="preserve">JEL Classification: </w:t>
      </w:r>
      <w:r>
        <w:t>N40, N70, F50, O33, C12</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no regular maritime routes connected them to the major trading systems of their era.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2.3  Technical network exclusion: definition and candidates</w:t>
      </w:r>
    </w:p>
    <w:p>
      <w:r>
        <w:t>We define technical network exclusion, in its maritime-era form, as the condition in which no regular sea routes connected a polity to the major trading systems of its period. The key distinction from policy-based closure is the absence of agency: these polities did not choose isolation. Rather, the transport technology of their era had not yet extended regular maritime connectivity to their region.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network exclusion reclassification candidates. 'Strong' candidates were structurally excluded from the dominant exchange network of their era; 'Moderate' candidates had limited or uncertain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(maritime closure vs. open) against the binarized outcome. The 'maritime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3.4  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maritime closure indicator. We report exponentiated coefficients (odds ratios) with 95% confidence intervals.</w:t>
      </w:r>
    </w:p>
    <w:p>
      <w:pPr>
        <w:pStyle w:val="Heading2"/>
      </w:pPr>
      <w:r>
        <w:t>3.5  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maritime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Network Exclusion</w:t>
      </w:r>
    </w:p>
    <w:p>
      <w:pPr>
        <w:pStyle w:val="Heading2"/>
      </w:pPr>
      <w:r>
        <w:t>5.1  Closure-type disaggregation and the dose–response pattern</w:t>
      </w:r>
    </w:p>
    <w:p>
      <w:r>
        <w:t>Figure 3 disaggregates conquest rates by closure type under the 7-country reclassification. A striking gradient emerges. Technically excluded polities—those with zero access to maritime exchange networks—exhibit a 100% conquest rate. Policy-based maritime bans, which restricted but did not entirely eliminate external contact, show lower rates (76.9% under disrupted → overtaken; 69.2% under disrupted →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Figure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maritime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pPr>
        <w:pStyle w:val="Heading2"/>
      </w:pPr>
      <w:r>
        <w:t>6.2  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6.3  Beyond maritime isolation: technological access exclusion in the modern era</w:t>
      </w:r>
    </w:p>
    <w:p>
      <w:r>
        <w:t>If the mechanism we identify is technology flow disruption rather than maritime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technical network exclusion in its maritime form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maritime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6.4  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maritime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4.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
      <w:pPr>
        <w:jc w:val="center"/>
      </w:pPr>
      <w:r>
        <w:rPr>
          <w:b/>
          <w:sz w:val="20"/>
        </w:rPr>
        <w:t>Table 4  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r>
          </w:p>
        </w:tc>
        <w:tc>
          <w:tcPr>
            <w:tcW w:type="dxa" w:w="1881"/>
          </w:tcPr>
          <w:p>
            <w:pPr>
              <w:jc w:val="center"/>
            </w:pPr>
            <w:r>
              <w:rPr>
                <w:b/>
                <w:sz w:val="20"/>
              </w:rPr>
              <w:t>Conquered</w:t>
            </w:r>
          </w:p>
        </w:tc>
        <w:tc>
          <w:tcPr>
            <w:tcW w:type="dxa" w:w="1881"/>
          </w:tcPr>
          <w:p>
            <w:pPr>
              <w:jc w:val="center"/>
            </w:pPr>
            <w:r>
              <w:rPr>
                <w:b/>
                <w:sz w:val="20"/>
              </w:rPr>
              <w:t>Survived</w:t>
            </w:r>
          </w:p>
        </w:tc>
        <w:tc>
          <w:tcPr>
            <w:tcW w:type="dxa" w:w="1881"/>
          </w:tcPr>
          <w:p>
            <w:pPr>
              <w:jc w:val="center"/>
            </w:pPr>
            <w:r>
              <w:rPr>
                <w:b/>
                <w:sz w:val="20"/>
              </w:rPr>
              <w:t>n</w:t>
            </w:r>
          </w:p>
        </w:tc>
        <w:tc>
          <w:tcPr>
            <w:tcW w:type="dxa" w:w="1881"/>
          </w:tcPr>
          <w:p>
            <w:pPr>
              <w:jc w:val="center"/>
            </w:pPr>
            <w:r>
              <w:rPr>
                <w:b/>
                <w:sz w:val="20"/>
              </w:rPr>
              <w:t>Rate</w:t>
            </w:r>
          </w:p>
        </w:tc>
      </w:tr>
      <w:tr>
        <w:tc>
          <w:tcPr>
            <w:tcW w:type="dxa" w:w="1881"/>
          </w:tcPr>
          <w:p>
            <w:pPr>
              <w:jc w:val="center"/>
            </w:pPr>
            <w:r>
              <w:rPr>
                <w:sz w:val="20"/>
              </w:rPr>
              <w:t>Stock + closed</w:t>
            </w:r>
          </w:p>
        </w:tc>
        <w:tc>
          <w:tcPr>
            <w:tcW w:type="dxa" w:w="1881"/>
          </w:tcPr>
          <w:p>
            <w:pPr>
              <w:jc w:val="center"/>
            </w:pPr>
            <w:r>
              <w:rPr>
                <w:sz w:val="20"/>
              </w:rPr>
              <w:t>15</w:t>
            </w:r>
          </w:p>
        </w:tc>
        <w:tc>
          <w:tcPr>
            <w:tcW w:type="dxa" w:w="1881"/>
          </w:tcPr>
          <w:p>
            <w:pPr>
              <w:jc w:val="center"/>
            </w:pPr>
            <w:r>
              <w:rPr>
                <w:sz w:val="20"/>
              </w:rPr>
              <w:t>3</w:t>
            </w:r>
          </w:p>
        </w:tc>
        <w:tc>
          <w:tcPr>
            <w:tcW w:type="dxa" w:w="1881"/>
          </w:tcPr>
          <w:p>
            <w:pPr>
              <w:jc w:val="center"/>
            </w:pPr>
            <w:r>
              <w:rPr>
                <w:sz w:val="20"/>
              </w:rPr>
              <w:t>18</w:t>
            </w:r>
          </w:p>
        </w:tc>
        <w:tc>
          <w:tcPr>
            <w:tcW w:type="dxa" w:w="1881"/>
          </w:tcPr>
          <w:p>
            <w:pPr>
              <w:jc w:val="center"/>
            </w:pPr>
            <w:r>
              <w:rPr>
                <w:sz w:val="20"/>
              </w:rPr>
              <w:t>83.3%</w:t>
            </w:r>
          </w:p>
        </w:tc>
      </w:tr>
      <w:tr>
        <w:tc>
          <w:tcPr>
            <w:tcW w:type="dxa" w:w="1881"/>
          </w:tcPr>
          <w:p>
            <w:pPr>
              <w:jc w:val="center"/>
            </w:pPr>
            <w:r>
              <w:rPr>
                <w:sz w:val="20"/>
              </w:rPr>
              <w:t>Stock + open</w:t>
            </w:r>
          </w:p>
        </w:tc>
        <w:tc>
          <w:tcPr>
            <w:tcW w:type="dxa" w:w="1881"/>
          </w:tcPr>
          <w:p>
            <w:pPr>
              <w:jc w:val="center"/>
            </w:pPr>
            <w:r>
              <w:rPr>
                <w:sz w:val="20"/>
              </w:rPr>
              <w:t>18</w:t>
            </w:r>
          </w:p>
        </w:tc>
        <w:tc>
          <w:tcPr>
            <w:tcW w:type="dxa" w:w="1881"/>
          </w:tcPr>
          <w:p>
            <w:pPr>
              <w:jc w:val="center"/>
            </w:pPr>
            <w:r>
              <w:rPr>
                <w:sz w:val="20"/>
              </w:rPr>
              <w:t>9</w:t>
            </w:r>
          </w:p>
        </w:tc>
        <w:tc>
          <w:tcPr>
            <w:tcW w:type="dxa" w:w="1881"/>
          </w:tcPr>
          <w:p>
            <w:pPr>
              <w:jc w:val="center"/>
            </w:pPr>
            <w:r>
              <w:rPr>
                <w:sz w:val="20"/>
              </w:rPr>
              <w:t>27</w:t>
            </w:r>
          </w:p>
        </w:tc>
        <w:tc>
          <w:tcPr>
            <w:tcW w:type="dxa" w:w="1881"/>
          </w:tcPr>
          <w:p>
            <w:pPr>
              <w:jc w:val="center"/>
            </w:pPr>
            <w:r>
              <w:rPr>
                <w:sz w:val="20"/>
              </w:rPr>
              <w:t>66.7%</w:t>
            </w:r>
          </w:p>
        </w:tc>
      </w:tr>
      <w:tr>
        <w:tc>
          <w:tcPr>
            <w:tcW w:type="dxa" w:w="1881"/>
          </w:tcPr>
          <w:p>
            <w:pPr>
              <w:jc w:val="center"/>
            </w:pPr>
            <w:r>
              <w:rPr>
                <w:sz w:val="20"/>
              </w:rPr>
              <w:t>Flow + closed</w:t>
            </w:r>
          </w:p>
        </w:tc>
        <w:tc>
          <w:tcPr>
            <w:tcW w:type="dxa" w:w="1881"/>
          </w:tcPr>
          <w:p>
            <w:pPr>
              <w:jc w:val="center"/>
            </w:pPr>
            <w:r>
              <w:rPr>
                <w:sz w:val="20"/>
              </w:rPr>
              <w:t>4</w:t>
            </w:r>
          </w:p>
        </w:tc>
        <w:tc>
          <w:tcPr>
            <w:tcW w:type="dxa" w:w="1881"/>
          </w:tcPr>
          <w:p>
            <w:pPr>
              <w:jc w:val="center"/>
            </w:pPr>
            <w:r>
              <w:rPr>
                <w:sz w:val="20"/>
              </w:rPr>
              <w:t>0</w:t>
            </w:r>
          </w:p>
        </w:tc>
        <w:tc>
          <w:tcPr>
            <w:tcW w:type="dxa" w:w="1881"/>
          </w:tcPr>
          <w:p>
            <w:pPr>
              <w:jc w:val="center"/>
            </w:pPr>
            <w:r>
              <w:rPr>
                <w:sz w:val="20"/>
              </w:rPr>
              <w:t>4</w:t>
            </w:r>
          </w:p>
        </w:tc>
        <w:tc>
          <w:tcPr>
            <w:tcW w:type="dxa" w:w="1881"/>
          </w:tcPr>
          <w:p>
            <w:pPr>
              <w:jc w:val="center"/>
            </w:pPr>
            <w:r>
              <w:rPr>
                <w:sz w:val="20"/>
              </w:rPr>
              <w:t>100.0%</w:t>
            </w:r>
          </w:p>
        </w:tc>
      </w:tr>
      <w:tr>
        <w:tc>
          <w:tcPr>
            <w:tcW w:type="dxa" w:w="1881"/>
          </w:tcPr>
          <w:p>
            <w:pPr>
              <w:jc w:val="center"/>
            </w:pPr>
            <w:r>
              <w:rPr>
                <w:sz w:val="20"/>
              </w:rPr>
              <w:t>Flow + open</w:t>
            </w:r>
          </w:p>
        </w:tc>
        <w:tc>
          <w:tcPr>
            <w:tcW w:type="dxa" w:w="1881"/>
          </w:tcPr>
          <w:p>
            <w:pPr>
              <w:jc w:val="center"/>
            </w:pPr>
            <w:r>
              <w:rPr>
                <w:sz w:val="20"/>
              </w:rPr>
              <w:t>27</w:t>
            </w:r>
          </w:p>
        </w:tc>
        <w:tc>
          <w:tcPr>
            <w:tcW w:type="dxa" w:w="1881"/>
          </w:tcPr>
          <w:p>
            <w:pPr>
              <w:jc w:val="center"/>
            </w:pPr>
            <w:r>
              <w:rPr>
                <w:sz w:val="20"/>
              </w:rPr>
              <w:t>20</w:t>
            </w:r>
          </w:p>
        </w:tc>
        <w:tc>
          <w:tcPr>
            <w:tcW w:type="dxa" w:w="1881"/>
          </w:tcPr>
          <w:p>
            <w:pPr>
              <w:jc w:val="center"/>
            </w:pPr>
            <w:r>
              <w:rPr>
                <w:sz w:val="20"/>
              </w:rPr>
              <w:t>47</w:t>
            </w:r>
          </w:p>
        </w:tc>
        <w:tc>
          <w:tcPr>
            <w:tcW w:type="dxa" w:w="1881"/>
          </w:tcPr>
          <w:p>
            <w:pPr>
              <w:jc w:val="center"/>
            </w:pPr>
            <w:r>
              <w:rPr>
                <w:sz w:val="20"/>
              </w:rPr>
              <w:t>57.4%</w:t>
            </w:r>
          </w:p>
        </w:tc>
      </w:tr>
    </w:tbl>
    <w:p>
      <w:r>
        <w:rPr>
          <w:i/>
          <w:sz w:val="18"/>
        </w:rPr>
        <w:t>Fisher exact tests (one-sided): stock + closed vs. flow + open, OR = 3.70, p = 0.045; within stock, closed vs. open, OR = 2.50, p = 0.187; within flow, closed vs. open, OR = ∞, p = 0.126.</w:t>
      </w:r>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This paper has shown that reclassifying seven technically excluded polities—those severed from the maritime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maritime trade.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pPr>
        <w:pStyle w:val="Heading1"/>
      </w:pPr>
      <w:r>
        <w:t>References</w:t>
      </w:r>
    </w:p>
    <w:p>
      <w:pPr>
        <w:ind w:hanging="567" w:left="567"/>
      </w:pPr>
      <w:r>
        <w:rPr>
          <w:sz w:val="22"/>
        </w:rPr>
        <w:t>Acemoglu D, Johnson S, Robinson JA (2002) Reversal of fortune: geography and institutions in the making of the modern world income distribution. Q J Econ 117:1231–1294. https://doi.org/10.1162/003355302320935025</w:t>
      </w:r>
    </w:p>
    <w:p>
      <w:pPr>
        <w:ind w:hanging="567" w:left="567"/>
      </w:pPr>
      <w:r>
        <w:rPr>
          <w:sz w:val="22"/>
        </w:rPr>
        <w:t>Acemoglu D, Johnson S, Robinson JA (2005) Institutions as a fundamental cause of long-run growth. In: Aghion P, Durlauf SN (eds) Handbook of economic growth, vol 1A. Elsevier, Amsterdam, pp 385–472</w:t>
      </w:r>
    </w:p>
    <w:p>
      <w:pPr>
        <w:ind w:hanging="567" w:left="567"/>
      </w:pPr>
      <w:r>
        <w:rPr>
          <w:sz w:val="22"/>
        </w:rPr>
        <w:t>Acemoglu D, Robinson JA (2012) Why nations fail: the origins of power, prosperity, and poverty. Crown, New York</w:t>
      </w:r>
    </w:p>
    <w:p>
      <w:pPr>
        <w:ind w:hanging="567" w:left="567"/>
      </w:pPr>
      <w:r>
        <w:rPr>
          <w:sz w:val="22"/>
        </w:rPr>
        <w:t>Acemoglu D, Restrepo P (2020) Robots and jobs: evidence from US labor markets. J Polit Econ 128:2188–2244. https://doi.org/10.1086/705716</w:t>
      </w:r>
    </w:p>
    <w:p>
      <w:pPr>
        <w:ind w:hanging="567" w:left="567"/>
      </w:pPr>
      <w:r>
        <w:rPr>
          <w:sz w:val="22"/>
        </w:rPr>
        <w:t>Arrighi G (1994) The long twentieth century: money, power, and the origins of our times. Verso, London</w:t>
      </w:r>
    </w:p>
    <w:p>
      <w:pPr>
        <w:ind w:hanging="567" w:left="567"/>
      </w:pPr>
      <w:r>
        <w:rPr>
          <w:sz w:val="22"/>
        </w:rPr>
        <w:t>Broadberry SN, Guan H (2026) Regional variation of GDP per head within China, 1080–1850. Explor Econ Hist 95:101567. https://doi.org/10.1016/j.eeh.2025.101567</w:t>
      </w:r>
    </w:p>
    <w:p>
      <w:pPr>
        <w:ind w:hanging="567" w:left="567"/>
      </w:pPr>
      <w:r>
        <w:rPr>
          <w:sz w:val="22"/>
        </w:rPr>
        <w:t>Comin D, Easterly W, Gong E (2010) Was the wealth of nations determined in 1000 BC? Am Econ J Macroecon 2:65–97. https://doi.org/10.1257/mac.2.3.65</w:t>
      </w:r>
    </w:p>
    <w:p>
      <w:pPr>
        <w:ind w:hanging="567" w:left="567"/>
      </w:pPr>
      <w:r>
        <w:rPr>
          <w:sz w:val="22"/>
        </w:rPr>
        <w:t>Comin D, Mestieri M (2018) If technology has arrived everywhere, why has income diverged? Am Econ J Macroecon 10:137–178. https://doi.org/10.1257/mac.20150175</w:t>
      </w:r>
    </w:p>
    <w:p>
      <w:pPr>
        <w:ind w:hanging="567" w:left="567"/>
      </w:pPr>
      <w:r>
        <w:rPr>
          <w:sz w:val="22"/>
        </w:rPr>
        <w:t>De Vries J (2010) The limits of globalization in the early modern world. Econ Hist Rev 63:710–733. https://doi.org/10.1111/j.1468-0289.2009.00497.x</w:t>
      </w:r>
    </w:p>
    <w:p>
      <w:pPr>
        <w:ind w:hanging="567" w:left="567"/>
      </w:pPr>
      <w:r>
        <w:rPr>
          <w:sz w:val="22"/>
        </w:rPr>
        <w:t>Diamond J (1997) Guns, germs, and steel: the fates of human societies. W.W. Norton, New York</w:t>
      </w:r>
    </w:p>
    <w:p>
      <w:pPr>
        <w:ind w:hanging="567" w:left="567"/>
      </w:pPr>
      <w:r>
        <w:rPr>
          <w:sz w:val="22"/>
        </w:rPr>
        <w:t>Diamond J, Bellwood P (2003) Farmers and their languages: the first expansions. Science 300:597–603. https://doi.org/10.1126/science.1078208</w:t>
      </w:r>
    </w:p>
    <w:p>
      <w:pPr>
        <w:ind w:hanging="567" w:left="567"/>
      </w:pPr>
      <w:r>
        <w:rPr>
          <w:sz w:val="22"/>
        </w:rPr>
        <w:t>Findlay R, O'Rourke KH (2007) Power and plenty: trade, war, and the world economy in the second millennium. Princeton University Press, Princeton</w:t>
      </w:r>
    </w:p>
    <w:p>
      <w:pPr>
        <w:ind w:hanging="567" w:left="567"/>
      </w:pPr>
      <w:r>
        <w:rPr>
          <w:sz w:val="22"/>
        </w:rPr>
        <w:t>Kennedy P (1987) The rise and fall of the great powers: economic change and military conflict from 1500 to 2000. Random House, New York</w:t>
      </w:r>
    </w:p>
    <w:p>
      <w:pPr>
        <w:ind w:hanging="567" w:left="567"/>
      </w:pPr>
      <w:r>
        <w:rPr>
          <w:sz w:val="22"/>
        </w:rPr>
        <w:t>Maddison A (2007) Contours of the world economy 1–2030 AD: essays in macro-economic history. Oxford University Press, Oxford</w:t>
      </w:r>
    </w:p>
    <w:p>
      <w:pPr>
        <w:ind w:hanging="567" w:left="567"/>
      </w:pPr>
      <w:r>
        <w:rPr>
          <w:sz w:val="22"/>
        </w:rPr>
        <w:t>Mokyr J (2002) The gifts of Athena: historical origins of the knowledge economy. Princeton University Press, Princeton</w:t>
      </w:r>
    </w:p>
    <w:p>
      <w:pPr>
        <w:ind w:hanging="567" w:left="567"/>
      </w:pPr>
      <w:r>
        <w:rPr>
          <w:sz w:val="22"/>
        </w:rPr>
        <w:t>North DC, Wallis JJ, Weingast BR (2009) Violence and social orders: a conceptual framework for interpreting recorded human history. Cambridge University Press, Cambridge</w:t>
      </w:r>
    </w:p>
    <w:p>
      <w:pPr>
        <w:ind w:hanging="567" w:left="567"/>
      </w:pPr>
      <w:r>
        <w:rPr>
          <w:sz w:val="22"/>
        </w:rPr>
        <w:t>Nunn N (2008) The long-term effects of Africa's slave trades. Q J Econ 123:139–176. https://doi.org/10.1162/qjec.2008.123.1.139</w:t>
      </w:r>
    </w:p>
    <w:p>
      <w:pPr>
        <w:ind w:hanging="567" w:left="567"/>
      </w:pPr>
      <w:r>
        <w:rPr>
          <w:sz w:val="22"/>
        </w:rPr>
        <w:t>Pomeranz K (2000) The great divergence: China, Europe, and the making of the modern world economy. Princeton University Press, Princeton</w:t>
      </w:r>
    </w:p>
    <w:p>
      <w:pPr>
        <w:ind w:hanging="567" w:left="567"/>
      </w:pPr>
      <w:r>
        <w:rPr>
          <w:sz w:val="22"/>
        </w:rPr>
        <w:t>Tainter JA (1988) The collapse of complex societies. Cambridge University Press, Cambridge</w:t>
      </w:r>
    </w:p>
    <w:p>
      <w:pPr>
        <w:ind w:hanging="567" w:left="567"/>
      </w:pPr>
      <w:r>
        <w:rPr>
          <w:sz w:val="22"/>
        </w:rPr>
        <w:t>Turchin P (2009) A theory for formation of large empires. J Glob Hist 4:191–217. https://doi.org/10.1017/S1740022809003192</w:t>
      </w:r>
    </w:p>
    <w:p>
      <w:pPr>
        <w:ind w:hanging="567" w:left="567"/>
      </w:pPr>
      <w:r>
        <w:rPr>
          <w:sz w:val="22"/>
        </w:rPr>
        <w:t>Turchin P, Nefedov SA (2009) Secular cycles. Princeton University Press, Princeton</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