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Tables (editable)</w:t>
      </w:r>
    </w:p>
    <w:p>
      <w:pPr>
        <w:spacing w:before="280"/>
      </w:pPr>
      <w:r>
        <w:rPr>
          <w:b/>
        </w:rPr>
        <w:t xml:space="preserve">Table 1. </w:t>
      </w:r>
      <w:r>
        <w:t>Panel description and model summary.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</w:p>
        </w:tc>
        <w:tc>
          <w:tcPr>
            <w:tcW w:type="dxa" w:w="2880"/>
          </w:tcPr>
          <w:p>
            <w:r>
              <w:rPr>
                <w:b/>
              </w:rPr>
              <w:t>United States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Japan</w:t>
            </w:r>
          </w:p>
        </w:tc>
      </w:tr>
      <w:tr>
        <w:tc>
          <w:tcPr>
            <w:tcW w:type="dxa" w:w="2880"/>
          </w:tcPr>
          <w:p>
            <w:r>
              <w:t>Crash deaths</w:t>
            </w:r>
          </w:p>
        </w:tc>
        <w:tc>
          <w:tcPr>
            <w:tcW w:type="dxa" w:w="2880"/>
          </w:tcPr>
          <w:p>
            <w:r>
              <w:t>270,497</w:t>
            </w:r>
          </w:p>
        </w:tc>
        <w:tc>
          <w:tcPr>
            <w:tcW w:type="dxa" w:w="2880"/>
          </w:tcPr>
          <w:p>
            <w:r>
              <w:t>11,576</w:t>
            </w:r>
          </w:p>
        </w:tc>
      </w:tr>
      <w:tr>
        <w:tc>
          <w:tcPr>
            <w:tcW w:type="dxa" w:w="2880"/>
          </w:tcPr>
          <w:p>
            <w:r>
              <w:t>Years</w:t>
            </w:r>
          </w:p>
        </w:tc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6</w:t>
            </w:r>
          </w:p>
        </w:tc>
      </w:tr>
      <w:tr>
        <w:tc>
          <w:tcPr>
            <w:tcW w:type="dxa" w:w="2880"/>
          </w:tcPr>
          <w:p>
            <w:r>
              <w:t>Spatial units</w:t>
            </w:r>
          </w:p>
        </w:tc>
        <w:tc>
          <w:tcPr>
            <w:tcW w:type="dxa" w:w="2880"/>
          </w:tcPr>
          <w:p>
            <w:r>
              <w:t>50 states</w:t>
            </w:r>
          </w:p>
        </w:tc>
        <w:tc>
          <w:tcPr>
            <w:tcW w:type="dxa" w:w="2880"/>
          </w:tcPr>
          <w:p>
            <w:r>
              <w:t>47 prefectures</w:t>
            </w:r>
          </w:p>
        </w:tc>
      </w:tr>
      <w:tr>
        <w:tc>
          <w:tcPr>
            <w:tcW w:type="dxa" w:w="2880"/>
          </w:tcPr>
          <w:p>
            <w:r>
              <w:t>Dispersion (phi)</w:t>
            </w:r>
          </w:p>
        </w:tc>
        <w:tc>
          <w:tcPr>
            <w:tcW w:type="dxa" w:w="2880"/>
          </w:tcPr>
          <w:p>
            <w:r>
              <w:t>1.23</w:t>
            </w:r>
          </w:p>
        </w:tc>
        <w:tc>
          <w:tcPr>
            <w:tcW w:type="dxa" w:w="2880"/>
          </w:tcPr>
          <w:p>
            <w:r>
              <w:t>1.05</w:t>
            </w:r>
          </w:p>
        </w:tc>
      </w:tr>
    </w:tbl>
    <w:p/>
    <w:p>
      <w:pPr>
        <w:spacing w:before="280"/>
      </w:pPr>
      <w:r>
        <w:rPr>
          <w:b/>
        </w:rPr>
        <w:t xml:space="preserve">Table 2. </w:t>
      </w:r>
      <w:r>
        <w:t>Rate ratio of traffic-crash deaths for a +9 C temperature anomaly, by lag window.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Lag window (days)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United States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Japan</w:t>
            </w:r>
          </w:p>
        </w:tc>
      </w:tr>
      <w:tr>
        <w:tc>
          <w:tcPr>
            <w:tcW w:type="dxa" w:w="2880"/>
          </w:tcPr>
          <w:p>
            <w:r>
              <w:t>0 (same day)</w:t>
            </w:r>
          </w:p>
        </w:tc>
        <w:tc>
          <w:tcPr>
            <w:tcW w:type="dxa" w:w="2880"/>
          </w:tcPr>
          <w:p>
            <w:r>
              <w:t>1.165 (1.134-1.196)</w:t>
            </w:r>
          </w:p>
        </w:tc>
        <w:tc>
          <w:tcPr>
            <w:tcW w:type="dxa" w:w="2880"/>
          </w:tcPr>
          <w:p>
            <w:r>
              <w:t>0.940 (0.743-1.190)</w:t>
            </w:r>
          </w:p>
        </w:tc>
      </w:tr>
      <w:tr>
        <w:tc>
          <w:tcPr>
            <w:tcW w:type="dxa" w:w="2880"/>
          </w:tcPr>
          <w:p>
            <w:r>
              <w:t>1-3</w:t>
            </w:r>
          </w:p>
        </w:tc>
        <w:tc>
          <w:tcPr>
            <w:tcW w:type="dxa" w:w="2880"/>
          </w:tcPr>
          <w:p>
            <w:r>
              <w:t>0.934 (0.902-0.967)</w:t>
            </w:r>
          </w:p>
        </w:tc>
        <w:tc>
          <w:tcPr>
            <w:tcW w:type="dxa" w:w="2880"/>
          </w:tcPr>
          <w:p>
            <w:r>
              <w:t>1.146 (0.739-1.779)</w:t>
            </w:r>
          </w:p>
        </w:tc>
      </w:tr>
      <w:tr>
        <w:tc>
          <w:tcPr>
            <w:tcW w:type="dxa" w:w="2880"/>
          </w:tcPr>
          <w:p>
            <w:r>
              <w:t>4-10</w:t>
            </w:r>
          </w:p>
        </w:tc>
        <w:tc>
          <w:tcPr>
            <w:tcW w:type="dxa" w:w="2880"/>
          </w:tcPr>
          <w:p>
            <w:r>
              <w:t>0.988 (0.941-1.037)</w:t>
            </w:r>
          </w:p>
        </w:tc>
        <w:tc>
          <w:tcPr>
            <w:tcW w:type="dxa" w:w="2880"/>
          </w:tcPr>
          <w:p>
            <w:r>
              <w:t>0.521 (0.217-1.249)</w:t>
            </w:r>
          </w:p>
        </w:tc>
      </w:tr>
      <w:tr>
        <w:tc>
          <w:tcPr>
            <w:tcW w:type="dxa" w:w="2880"/>
          </w:tcPr>
          <w:p>
            <w:r>
              <w:t>Cumulative 0-10</w:t>
            </w:r>
          </w:p>
        </w:tc>
        <w:tc>
          <w:tcPr>
            <w:tcW w:type="dxa" w:w="2880"/>
          </w:tcPr>
          <w:p>
            <w:r>
              <w:t>1.074 (95% CI 1.015-1.137)</w:t>
            </w:r>
          </w:p>
        </w:tc>
        <w:tc>
          <w:tcPr>
            <w:tcW w:type="dxa" w:w="2880"/>
          </w:tcPr>
          <w:p>
            <w:r>
              <w:t>0.562 (95% CI 0.207-1.525)</w:t>
            </w:r>
          </w:p>
        </w:tc>
      </w:tr>
    </w:tbl>
    <w:p/>
    <w:p>
      <w:pPr>
        <w:spacing w:before="280"/>
      </w:pPr>
      <w:r>
        <w:rPr>
          <w:b/>
        </w:rPr>
        <w:t xml:space="preserve">Table 3. </w:t>
      </w:r>
      <w:r>
        <w:t>United States net heat-attributable crash deaths versus officially recorded direct-heat deaths.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Quantity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Estimate</w:t>
            </w:r>
          </w:p>
        </w:tc>
      </w:tr>
      <w:tr>
        <w:tc>
          <w:tcPr>
            <w:tcW w:type="dxa" w:w="4320"/>
          </w:tcPr>
          <w:p>
            <w:r>
              <w:t>Net heat-attributable crash deaths / year</w:t>
            </w:r>
          </w:p>
        </w:tc>
        <w:tc>
          <w:tcPr>
            <w:tcW w:type="dxa" w:w="4320"/>
          </w:tcPr>
          <w:p>
            <w:r>
              <w:t>513</w:t>
            </w:r>
          </w:p>
        </w:tc>
      </w:tr>
      <w:tr>
        <w:tc>
          <w:tcPr>
            <w:tcW w:type="dxa" w:w="4320"/>
          </w:tcPr>
          <w:p>
            <w:r>
              <w:t>Attributable fraction (%)</w:t>
            </w:r>
          </w:p>
        </w:tc>
        <w:tc>
          <w:tcPr>
            <w:tcW w:type="dxa" w:w="4320"/>
          </w:tcPr>
          <w:p>
            <w:r>
              <w:t>1.33</w:t>
            </w:r>
          </w:p>
        </w:tc>
      </w:tr>
      <w:tr>
        <w:tc>
          <w:tcPr>
            <w:tcW w:type="dxa" w:w="4320"/>
          </w:tcPr>
          <w:p>
            <w:r>
              <w:t>Official direct-heat deaths / year (X30, 2016-2020)</w:t>
            </w:r>
          </w:p>
        </w:tc>
        <w:tc>
          <w:tcPr>
            <w:tcW w:type="dxa" w:w="4320"/>
          </w:tcPr>
          <w:p>
            <w:r>
              <w:t>527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