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August 21, 2026</w:t>
      </w:r>
    </w:p>
    <w:p/>
    <w:p>
      <w:r>
        <w:t>Editors</w:t>
      </w:r>
    </w:p>
    <w:p>
      <w:r>
        <w:t>Journal of Pharmaceutical Policy and Practice</w:t>
      </w:r>
    </w:p>
    <w:p>
      <w:r>
        <w:t>Taylor &amp; Francis</w:t>
      </w:r>
    </w:p>
    <w:p/>
    <w:p>
      <w:r>
        <w:t>Dear Editors,</w:t>
      </w:r>
    </w:p>
    <w:p/>
    <w:p>
      <w:r>
        <w:t>We respectfully submit the enclosed manuscript entitled “There is no 'typical Japanese patient': regional variation in pain-related prescribing across Japan's 47 prefectures” for consideration as a Research Article in the Journal of Pharmaceutical Policy and Practice.</w:t>
      </w:r>
    </w:p>
    <w:p>
      <w:r>
        <w:t>Cross-cultural studies have long characterized Japanese people as stoic toward pain, yet whether this stoicism varies within Japan has never been examined at the population level. Using Japan’s National Database (NDB) Open Data—capturing virtually all insurance-reimbursed healthcare for approximately 125 million people—we mapped pain-related prescribing across all 47 prefectures and nine regional blocks.</w:t>
      </w:r>
    </w:p>
    <w:p>
      <w:r>
        <w:t>Our key findings are:</w:t>
      </w:r>
    </w:p>
    <w:p>
      <w:pPr>
        <w:pStyle w:val="ListBullet"/>
      </w:pPr>
      <w:r>
        <w:t>(1) Acute perioperative analgesic prescribing varied 1.97-fold across prefectures (Gifu 25.20 to Kagoshima 49.75), demonstrating that Japan’s pain culture is not monolithic.</w:t>
      </w:r>
    </w:p>
    <w:p>
      <w:pPr>
        <w:pStyle w:val="ListBullet"/>
      </w:pPr>
      <w:r>
        <w:t>(2) Tohoku—traditionally considered Japan’s most stoic region—prescribed more, not fewer, analgesics than the rest of the country (Cohen’s d = 0.87).</w:t>
      </w:r>
    </w:p>
    <w:p>
      <w:pPr>
        <w:pStyle w:val="ListBullet"/>
      </w:pPr>
      <w:r>
        <w:t>(3) The large regional variation in outpatient neuropathic pain prescribing (Cohen’s d = 2.81) was attenuated by 84% after adjustment for confounding disease prevalence, particularly diabetes, indicating that apparent cultural patterns are substantially shaped by comorbidity.</w:t>
      </w:r>
    </w:p>
    <w:p>
      <w:r>
        <w:t>We believe this manuscript is well suited for the Journal of Pharmaceutical Policy and Practice. The topic sits at the intersection of pharmaceutical policy and clinical practice: Japan’s universal, standardised-reimbursement system offers a natural laboratory for estimating policy-relevant variation under uniform pricing, and the findings challenge assumptions that can influence prescribing decisions. The ecological, population-complete design and transparent confounder-adjustment framework should be replicable in other countries with national claims databases.</w:t>
      </w:r>
    </w:p>
    <w:p>
      <w:r>
        <w:t>This manuscript has not been published previously and is not under consideration elsewhere. All authors have approved the manuscript and agree with its submission to the Journal of Pharmaceutical Policy and Practice. The study used only publicly available aggregate data, so ethical approval was not required. The author reports no conflicts of interest to declare.</w:t>
      </w:r>
    </w:p>
    <w:p>
      <w:r>
        <w:t>We confirm that this manuscript complies with the STROBE guidelines for reporting observational studies, and a completed STROBE checklist is included with this submission.</w:t>
      </w:r>
    </w:p>
    <w:p>
      <w:r>
        <w:t>Thank you for considering our work. We look forward to your response.</w:t>
      </w:r>
    </w:p>
    <w:p/>
    <w:p>
      <w:r>
        <w:t>Sincerely,</w:t>
      </w:r>
    </w:p>
    <w:p/>
    <w:p>
      <w:r>
        <w:t>Tatsuki Onishi</w:t>
      </w:r>
    </w:p>
    <w:p>
      <w:r>
        <w:t>Department of Anesthesiology</w:t>
      </w:r>
    </w:p>
    <w:p>
      <w:r>
        <w:t>[Institution]</w:t>
      </w:r>
    </w:p>
    <w:p>
      <w:r>
        <w:t>[Address]</w:t>
      </w:r>
    </w:p>
    <w:p>
      <w:r>
        <w:t>E-mail: [email]</w:t>
      </w: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