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[Date]</w:t>
      </w:r>
    </w:p>
    <w:p/>
    <w:p>
      <w:r>
        <w:rPr>
          <w:rFonts w:ascii="Times New Roman" w:hAnsi="Times New Roman"/>
          <w:sz w:val="24"/>
        </w:rPr>
        <w:t>Prof. Dr. Madjid Tavana, PhD</w:t>
      </w:r>
    </w:p>
    <w:p>
      <w:r>
        <w:rPr>
          <w:rFonts w:ascii="Times New Roman" w:hAnsi="Times New Roman"/>
          <w:sz w:val="24"/>
        </w:rPr>
        <w:t>Editor-in-Chief</w:t>
      </w:r>
    </w:p>
    <w:p>
      <w:r>
        <w:rPr>
          <w:rFonts w:ascii="Times New Roman" w:hAnsi="Times New Roman"/>
          <w:sz w:val="24"/>
        </w:rPr>
        <w:t>Healthcare Analytics</w:t>
      </w:r>
    </w:p>
    <w:p/>
    <w:p>
      <w:r>
        <w:rPr>
          <w:rFonts w:ascii="Times New Roman" w:hAnsi="Times New Roman"/>
          <w:sz w:val="24"/>
        </w:rPr>
        <w:t>Dear Editor,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We submit an original research article, "Litigation risk and specialty-level physician workforce in Japan, 2008–2024: a rate-based analysis with equivalence testing", for consideration by Healthcare Analytics.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Healthcare Analytics advances data-driven analytics for healthcare decisions. Our study treats specialty physician workforce planning as a healthcare resource-allocation problem and uses it as a test case for a transparent, reproducible sensitivity-analysis framework. The analytical contribution is diagnostic: we show how two common observational fallacies—size confounding and interpolation of sparse panel data—can be identified and removed when a proposed policy lever (malpractice-litigation risk) is evaluated against physician workforce outcomes.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Using national primary data for 12 clinical specialties in Japan, we measure exposure as a size-adjusted rate (closed malpractice claims per 1,000 physicians) and estimate panel fixed-effects models with equivalence (TOST) testing. The effect of litigation risk on physician and hospital growth is statistically equivalent to a null within policy-relevant margins. We show that count-based associations disappear once specialty-size confounding and interpolation are removed, and we discuss how structural incentives—notably no-fault obstetric compensation—may sustain the specialty workforce.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All data and code are openly available in the project repository (https://github.com/bougtoir/medical-accident-its-analysis) and every reported number is reproducible from the raw primary files.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The work is original, not under consideration elsewhere, and all authors approve the submission. We declare no conflicts of interest.</w:t>
      </w:r>
    </w:p>
    <w:p>
      <w:r>
        <w:rPr>
          <w:rFonts w:ascii="Times New Roman" w:hAnsi="Times New Roman"/>
          <w:sz w:val="24"/>
        </w:rPr>
        <w:t>Sincerely,</w:t>
      </w:r>
    </w:p>
    <w:p/>
    <w:p>
      <w:r>
        <w:rPr>
          <w:rFonts w:ascii="Times New Roman" w:hAnsi="Times New Roman"/>
          <w:sz w:val="24"/>
        </w:rPr>
        <w:t>[Corresponding author, on behalf of all authors]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