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healthcare workforce allocation problem in Japan, where policy discussions often assume that malpractice-litigation risk pushes physicians away from high-risk specialties. We used this question as a test case for a transparent, reproducible sensitivity-analysis framework that evaluates a proposed policy lever while avoiding size confounding and interpolation of sparse panels.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hospital growth was within ±2% (p=0.002) but not the stricter ±1% margin (p=0.059). Sensitivity analyses were unchanged and per-specialty rank correlations were mostly positive (10/12) and none significant. Specialty-level litigation risk is not associated with workforce decline and is statistically equivalent to a null effect for physicians. The framework is exportable to other policy levers in healthcare workforce allocation.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therefore treat the litigation-workforce question as a test case for a transparent, reproducible sensitivity-analysis framework for healthcare workforce allocation decisions.</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医療事故 + 医療過誤).</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w:t>
      </w:r>
    </w:p>
    <w:p>
      <w:pPr>
        <w:spacing w:line="480" w:lineRule="auto" w:after="120"/>
      </w:pPr>
      <w:r>
        <w:rPr>
          <w:rFonts w:ascii="Times New Roman" w:hAnsi="Times New Roman"/>
          <w:b w:val="0"/>
          <w:i w:val="0"/>
          <w:sz w:val="24"/>
        </w:rPr>
        <w:t>We standardised the litigation-rate exposure for the equivalence analysis so the coefficient gives the expected biennial log-change per one-SD increase in the exposure. 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We pre-specified margins of ±1% and ±2% biennial workforce change because they are smaller than typical policy targets for specialty workforce rebalancing and represent changes that workforce planners would consider substantively small.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(p=0.51). Figure 2 illustrates the difference between the two exposure definitions: a count exposure spans specialty size (panel a), whereas the size-adjusted rate does not (panel b); points are coloured by specialty so the reader can identify which fields drive any apparent outliers. The annual hospital and the interpolated annual physician sensitivity analyses were also null (p=0.99 and p=0.39), confirming that size confounding and interpolation are sufficient to create spurious associations. The JOCS-CP indicator was directionally positive in the obstetric-hospital model (coefficient +0.024, raw p=0.013), but the association was not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p=0.28)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account for the null litigation effect either. Holm step-down adjusted p-values for the exploratory sensitivity family are reported in Supplementary Table 5.</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Across the sensitivity analyses, neither alternative exposure definitions, interpolation, nor potential confounders changed this conclusion, which is the main value of the framework for healthcare workforce allocation decisions.</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[17]</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vertAlign w:val="superscript"/>
        </w:rPr>
        <w:t>[18]</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[20]</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is too small or too confounded by concurrent obstetric policies to be isolated here.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vertAlign w:val="superscript"/>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[28]</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in these data, and the physician effect was statistically equivalent to null within a small margin. Policies to counter specialty maldistribution may more productively target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