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We hypothesize that pairwise correlations of archaic introgression frequency profiles between populations can serve as an independent tracer of past long-distance human movement, complementing conventional approaches based on genome-wide ancestry proportions. Using publicly available hmmix introgression segments from 3,134 individuals across 66 populations (1000 Genomes + HGDP), we demonstrate that a multiple regression model incorporating geographic distance, recent admixture proportions, and continental grouping explains 51% of the variance in Neanderthal sharing correlations (R</w:t>
      </w:r>
      <w:r>
        <w:rPr>
          <w:sz w:val="20"/>
          <w:vertAlign w:val="superscript"/>
        </w:rPr>
        <w:t>2</w:t>
      </w:r>
      <w:r>
        <w:rPr>
          <w:rFonts w:ascii="Times New Roman" w:hAnsi="Times New Roman"/>
          <w:sz w:val="24"/>
        </w:rPr>
        <w:t xml:space="preserve"> = 0.510) and 50% for Denisovan (R</w:t>
      </w:r>
      <w:r>
        <w:rPr>
          <w:sz w:val="20"/>
          <w:vertAlign w:val="superscript"/>
        </w:rPr>
        <w:t>2</w:t>
      </w:r>
      <w:r>
        <w:rPr>
          <w:rFonts w:ascii="Times New Roman" w:hAnsi="Times New Roman"/>
          <w:sz w:val="24"/>
        </w:rPr>
        <w:t xml:space="preserve"> = 0.495). Crucially, Denisovan introgression creates a sharp biogeographic boundary coinciding with the Wallace Line, while Neanderthal sharing residuals highlight trans-Pacific connections consistent with Beringian migration. We propose specific testable predictions for validation with forthcoming ancient genome data.</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4,6</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7</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three key ways: (1) we jointly analyze both Neanderthal and Denisovan introgression, exploiting their complementary geographic signatures; (2) we operate at the level of segment sharing rather than aggregate proportions, capturing population-specific introgression patterns; and (3) we explicitly model confounding factors (recent admixture and continental grouping) to isolate residual sharing signals indicative of unexpected historical connections.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8</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substantially improves model fit</w:t>
      </w:r>
    </w:p>
    <w:p>
      <w:pPr/>
      <w:r>
        <w:rPr>
          <w:rFonts w:ascii="Times New Roman" w:hAnsi="Times New Roman"/>
          <w:sz w:val="24"/>
        </w:rPr>
        <w:t>The uncorrected model (geographic distance only) explained 23.5% of the variance in Neanderthal sharing correlations and 21.7% for Denisovan. After incorporating admixture and continental grouping, the corrected model explained 51.0% (Neanderthal, 95% CI: 48.3-53.8%) and 49.5% (Denisovan, 95% CI: 46.9-52.2%), as confirmed by 5,000 bootstrap resamples (Figure 1). All three covariates contributed significantly: geographic distance (beta = -0.016 per 1000 km, p &lt; 10</w:t>
      </w:r>
      <w:r>
        <w:rPr>
          <w:sz w:val="20"/>
          <w:vertAlign w:val="superscript"/>
        </w:rPr>
        <w:t>-15</w:t>
      </w:r>
      <w:r>
        <w:rPr>
          <w:rFonts w:ascii="Times New Roman" w:hAnsi="Times New Roman"/>
          <w:sz w:val="24"/>
        </w:rPr>
        <w:t>), European admixture fraction (beta = 0.42, p &lt; 10</w:t>
      </w:r>
      <w:r>
        <w:rPr>
          <w:sz w:val="20"/>
          <w:vertAlign w:val="superscript"/>
        </w:rPr>
        <w:t>-15</w:t>
      </w:r>
      <w:r>
        <w:rPr>
          <w:rFonts w:ascii="Times New Roman" w:hAnsi="Times New Roman"/>
          <w:sz w:val="24"/>
        </w:rPr>
        <w:t>), and same-continent indicator (beta = 0.30, p &lt; 10</w:t>
      </w:r>
      <w:r>
        <w:rPr>
          <w:sz w:val="20"/>
          <w:vertAlign w:val="superscript"/>
        </w:rPr>
        <w:t>-15</w:t>
      </w:r>
      <w:r>
        <w:rPr>
          <w:rFonts w:ascii="Times New Roman" w:hAnsi="Times New Roman"/>
          <w:sz w:val="24"/>
        </w:rPr>
        <w:t>). The Mantel test confirmed that the distance-sharing relationship remains highly significant even when restricted to non-admixed population pairs (Neanderthal: r = -0.62, p = 0.0001; Denisovan: r = -0.58, p = 0.0001).</w:t>
      </w:r>
    </w:p>
    <w:p>
      <w:pPr/>
      <w:r>
        <w:rPr>
          <w:rFonts w:ascii="Times New Roman" w:hAnsi="Times New Roman"/>
          <w:sz w:val="24"/>
        </w:rPr>
        <w:t>The partial correlation between sharing and distance, after controlling for admixture and continental grouping, decreased from r = -0.485 to r = -0.311 for Neanderthal and from r = -0.466 to r = -0.300 for Denisovan. This indicates that approximately 36% of the raw distance-sharing correlation was attributable to confounding by continental structure and recent admixture — a substantial correction that validates the necessity of this adjustment.</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indicate same-continent pairs, red dots indicate cross-continent pairs, and orange triangles indicate pairs involving recently admixed populations (PUR, CLM, MXL, PEL). Dashed lines show the corrected regression model for cross-continental (black) and same-continental (blue) pairs. Key outlier pairs are annotated. (B) Denisovan segment sharing: purple diamonds indicate Oceania-involved pairs, which cluster as a distinct group with negative or near-zero correlations with non-Oceanian populations, reflecting the Denisovan admixture boundary at the Wallace Line. Data: hmmix introgression segments (Zenodo:14136628), 66 populations, 3,134 individuals, 500 kb bins, corrected for admixture and continental grouping.</w:t>
      </w:r>
    </w:p>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between the Asian and Australian continental shelves.</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visualization of Homo sapiens Out-of-Africa migration with archaic admixture events. Band width represents relative population size (reflecting decreasing genetic diversity with distance from Africa). Stars mark admixture events: Neanderthal admixture ~47,000 years ago (affecting all non-African lineages), Denisovan admixture 1 ~45,000 years ago (Oceanian lineage, 3-5%), and Denisovan admixture 2 ~30,000 years ago (East Asian lineage, ~0.06%). Yellow and pink shaded regions indicate Neanderthal and Denisovan geographic ranges, respectively.</w:t>
      </w:r>
    </w:p>
    <w:p>
      <w:pPr>
        <w:pStyle w:val="Heading2"/>
      </w:pPr>
      <w:r>
        <w:rPr>
          <w:color w:val="000000"/>
        </w:rPr>
        <w:t>Neanderthal residuals highlight trans-Pacific connections</w:t>
      </w:r>
    </w:p>
    <w:p>
      <w:pPr/>
      <w:r>
        <w:rPr>
          <w:rFonts w:ascii="Times New Roman" w:hAnsi="Times New Roman"/>
          <w:sz w:val="24"/>
        </w:rPr>
        <w:t>Among non-admixed population pairs, the largest positive residuals from the corrected Neanderthal model involve Middle East-Europe pairs (Palestinian-TSI: residual +0.395; IBS-Palestinian: +0.386), reflecting the close genetic relationship between these regions despite their assignment to different continental categories. More informative are the cross-continental outliers: among admixed pairs, East Asian-Peruvian connections (KHV-PEL: residual +0.353; CHS-PEL: +0.346; CHB-PEL: +0.334) show elevated sharing over 16,000-19,000 km, consistent with the Beringian migration route.</w:t>
      </w:r>
    </w:p>
    <w:p>
      <w:pPr/>
      <w:r>
        <w:rPr>
          <w:rFonts w:ascii="Times New Roman" w:hAnsi="Times New Roman"/>
          <w:sz w:val="24"/>
        </w:rPr>
        <w:t>While individual outlier pairs do not reach statistical significance after FDR correction (q &gt; 0.10 for all pairs), the consistent directionality of the top residuals — preferentially connecting East Asian and American populations rather than, for example, European and Oceanian populations — supports the hypothesis that Neanderthal segment sharing retains a signal of the Beringian crossing. We note that the absence of individually significant outliers is expected given the modest sample size per population (median = 20 individuals) and the conservative nature of genome-wide permutation tests with 2,145 pair comparisons.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7</w:t>
      </w:r>
      <w:r>
        <w:rPr>
          <w:rFonts w:ascii="Times New Roman" w:hAnsi="Times New Roman"/>
          <w:sz w:val="24"/>
        </w:rPr>
        <w:t xml:space="preserve"> analyzed spatial gradients of aggregate Neanderthal ancestry proportions across Eurasian populations and recovered three migration waves. Their approach operates on mean ancestry fractions, treating Neanderthal DNA as a scalar value per population. Our approach instead compares the full introgression frequency profile — a vector of ~6,000 genomic bins — between population pairs, capturing which specific segments are shared rather than just how much total archaic DNA is present. This distinction matters because two populations can have identical mean Neanderthal ancestry (~1.4%) yet share different subsets of introgressed segments, reflecting different post-admixture drift histories.</w:t>
      </w:r>
    </w:p>
    <w:p>
      <w:pPr/>
      <w:r>
        <w:rPr>
          <w:rFonts w:ascii="Times New Roman" w:hAnsi="Times New Roman"/>
          <w:sz w:val="24"/>
        </w:rPr>
        <w:t>Petr et al.</w:t>
      </w:r>
      <w:r>
        <w:rPr>
          <w:sz w:val="20"/>
          <w:vertAlign w:val="superscript"/>
        </w:rPr>
        <w:t>9</w:t>
      </w:r>
      <w:r>
        <w:rPr>
          <w:rFonts w:ascii="Times New Roman" w:hAnsi="Times New Roman"/>
          <w:sz w:val="24"/>
        </w:rPr>
        <w:t xml:space="preserve"> tracked Neanderthal ancestry in 300+ ancient individuals across 50,000 years, identifying temporal patterns of introgression loss. Their time-series approach is powerful but requires well-preserved ancient DNA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10</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several specific, falsifiable predictions:</w:t>
      </w:r>
    </w:p>
    <w:p>
      <w:pPr/>
      <w:r>
        <w:rPr>
          <w:rFonts w:ascii="Times New Roman" w:hAnsi="Times New Roman"/>
          <w:sz w:val="24"/>
        </w:rPr>
        <w:t>Prediction 1: Ancient genomes from Beringia. If high-coverage genomes become available from the Beringian Standstill period (~24,000-18,000 years ago), their Neanderthal introgression profiles should show elevated sharing correlations with both East Asian (CHB, CHS, JPT) and Native American (Karitiana, Surui, Pima) modern populations, bridging the gap that currently separates these groups in our sharing matrix. The predicted sharing correlation should be r &gt; 0.6 with both groups, higher than the r ~ 0.3-0.4 currently observed between modern East Asian and South American populations.</w:t>
      </w:r>
    </w:p>
    <w:p>
      <w:pPr/>
      <w:r>
        <w:rPr>
          <w:rFonts w:ascii="Times New Roman" w:hAnsi="Times New Roman"/>
          <w:sz w:val="24"/>
        </w:rPr>
        <w:t>Prediction 2: Denisovan segment phylogeny. If the distinct Denisovan lineages identified by Jacobs et al.</w:t>
      </w:r>
      <w:r>
        <w:rPr>
          <w:sz w:val="20"/>
          <w:vertAlign w:val="superscript"/>
        </w:rPr>
        <w:t>5</w:t>
      </w:r>
      <w:r>
        <w:rPr>
          <w:rFonts w:ascii="Times New Roman" w:hAnsi="Times New Roman"/>
          <w:sz w:val="24"/>
        </w:rPr>
        <w:t xml:space="preserve"> can be classified at the segment level, the Oceanian-type segments should be completely absent in Japanese and Korean populations (consistent with the JEWEL study finding of only 1.47 Mb Denisovan DNA in Japanese genomes</w:t>
      </w:r>
      <w:r>
        <w:rPr>
          <w:sz w:val="20"/>
          <w:vertAlign w:val="superscript"/>
        </w:rPr>
        <w:t>11</w:t>
      </w:r>
      <w:r>
        <w:rPr>
          <w:rFonts w:ascii="Times New Roman" w:hAnsi="Times New Roman"/>
          <w:sz w:val="24"/>
        </w:rPr>
        <w:t>), while the East Asian-type segments should show a north-south gradient within East Asia consistent with a Southeast Asian admixture source.</w:t>
      </w:r>
    </w:p>
    <w:p>
      <w:pPr/>
      <w:r>
        <w:rPr>
          <w:rFonts w:ascii="Times New Roman" w:hAnsi="Times New Roman"/>
          <w:sz w:val="24"/>
        </w:rPr>
        <w:t>Prediction 3: Population Y signal. Skoglund et al. identified ~2% Australasian-like ancestry in Amazonian populations (Surui, Karitiana).</w:t>
      </w:r>
      <w:r>
        <w:rPr>
          <w:sz w:val="20"/>
          <w:vertAlign w:val="superscript"/>
        </w:rPr>
        <w:t>12</w:t>
      </w:r>
      <w:r>
        <w:rPr>
          <w:rFonts w:ascii="Times New Roman" w:hAnsi="Times New Roman"/>
          <w:sz w:val="24"/>
        </w:rPr>
        <w:t xml:space="preserve"> If this ancestry derives from a population with Oceanian-type Denisovan DNA, then the Denisovan sharing correlation between Surui/Karitiana and Papuan populations should be detectably higher than between other Native American populations and Papuans. Current sample sizes (n ~ 20 per population) may be insufficient, but targeted sequencing of ~100 individuals per group should provide adequate power.</w:t>
      </w:r>
    </w:p>
    <w:p>
      <w:pPr/>
      <w:r>
        <w:rPr>
          <w:rFonts w:ascii="Times New Roman" w:hAnsi="Times New Roman"/>
          <w:sz w:val="24"/>
        </w:rPr>
        <w:t>Prediction 4: Post-Columbian admixture as a positive control. The high Neanderthal sharing observed between admixed American populations (PUR, CLM) and European populations should disappear entirely when conditioning on the European ancestry component of the admixed individuals. This provides a methodological validation: if our approach correctly attributes this elevated sharing to recent admixture rather than ancient connection, it confirms that the corrected residuals reflect genuinely ancient signals.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4.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4" name="Picture 4"/>
            <wp:cNvGraphicFramePr>
              <a:graphicFrameLocks noChangeAspect="1"/>
            </wp:cNvGraphicFramePr>
            <a:graphic>
              <a:graphicData uri="http://schemas.openxmlformats.org/drawingml/2006/picture">
                <pic:pic>
                  <pic:nvPicPr>
                    <pic:cNvPr id="0" name="fig4_bivariate_world_map.png"/>
                    <pic:cNvPicPr/>
                  </pic:nvPicPr>
                  <pic:blipFill>
                    <a:blip r:embed="rId12"/>
                    <a:stretch>
                      <a:fillRect/>
                    </a:stretch>
                  </pic:blipFill>
                  <pic:spPr>
                    <a:xfrm>
                      <a:off x="0" y="0"/>
                      <a:ext cx="5486400" cy="3322646"/>
                    </a:xfrm>
                    <a:prstGeom prst="rect"/>
                  </pic:spPr>
                </pic:pic>
              </a:graphicData>
            </a:graphic>
          </wp:inline>
        </w:drawing>
      </w:r>
    </w:p>
    <w:p>
      <w:r>
        <w:rPr>
          <w:b/>
          <w:sz w:val="22"/>
        </w:rPr>
        <w:t xml:space="preserve">Figure 4.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We have proposed that pairwise archaic introgression sharing — the correlation of introgression frequency profiles between populations — can serve as an independent tracer of ancient human migration. Using publicly available data, we demonstrated that this metric captures biologically meaningful signals: the Denisovan Wallace Line boundary, the Neanderthal-mediated Beringian connection, and the confounding effect of post-Columbian admixture. After correcting for these confounders, the signal persists but at reduced statistical power, indicating that larger datasets and more sophisticated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Vernot B, Akey JM. Resurrecting surviving Neandertal lineages from modern human genomes. Science. 2014;343(6174):1017-1021.</w:t>
      </w:r>
    </w:p>
    <w:p>
      <w:pPr>
        <w:spacing w:after="60"/>
      </w:pPr>
      <w:r>
        <w:rPr>
          <w:sz w:val="20"/>
        </w:rPr>
        <w:t>7. Quilodran CS, Tsoupas A, Currat M. The spatial signature of introgression after a biological invasion with hybridization. Sci Adv. 2023;9(37):eadh0487.</w:t>
      </w:r>
    </w:p>
    <w:p>
      <w:pPr>
        <w:spacing w:after="60"/>
      </w:pPr>
      <w:r>
        <w:rPr>
          <w:sz w:val="20"/>
        </w:rPr>
        <w:t>8. Skov L, Hajdinjak M, Vernot B, et al. Detecting archaic introgression using an unadmixed outgroup. PLoS Genet. 2022;18(6):e1010170.</w:t>
      </w:r>
    </w:p>
    <w:p>
      <w:pPr>
        <w:spacing w:after="60"/>
      </w:pPr>
      <w:r>
        <w:rPr>
          <w:sz w:val="20"/>
        </w:rPr>
        <w:t>9. Petr M, Hajdinjak M, Fu Q, Essel E, et al. The evolutionary history of Neandertal and Denisovan Y chromosomes. Science. 2020;369(6511):1653-1656.</w:t>
      </w:r>
    </w:p>
    <w:p>
      <w:pPr>
        <w:spacing w:after="60"/>
      </w:pPr>
      <w:r>
        <w:rPr>
          <w:sz w:val="20"/>
        </w:rPr>
        <w:t>10. Mao X, Zhang H, Qiao S, et al. The deep population history of northern East Asia from the Late Pleistocene to the Holocene. Cell. 2021;184(12):3256-3266.</w:t>
      </w:r>
    </w:p>
    <w:p>
      <w:pPr>
        <w:spacing w:after="60"/>
      </w:pPr>
      <w:r>
        <w:rPr>
          <w:sz w:val="20"/>
        </w:rPr>
        <w:t>11. Terao C, Momozawa Y, Ishigaki K, et al. Decoding triancestral origins, archaic introgression, and natural selection in the Japanese population by whole-genome sequencing. Sci Adv. 2024;10(15):eadi8813.</w:t>
      </w:r>
    </w:p>
    <w:p>
      <w:pPr>
        <w:spacing w:after="60"/>
      </w:pPr>
      <w:r>
        <w:rPr>
          <w:sz w:val="20"/>
        </w:rPr>
        <w:t>12.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