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Two sensitivity series were also used: annual medical accident investigation reports by specialty from the Japan Medical Safety Research Organisation (JMSR, 2015-2025)</w:t>
      </w:r>
      <w:r>
        <w:rPr>
          <w:rFonts w:ascii="Times New Roman" w:hAnsi="Times New Roman"/>
          <w:sz w:val="22"/>
        </w:rPr>
        <w:t>[11]</w:t>
      </w:r>
      <w:r>
        <w:rPr>
          <w:rFonts w:ascii="Times New Roman" w:hAnsi="Times New Roman"/>
          <w:b w:val="0"/>
          <w:i w:val="0"/>
          <w:sz w:val="24"/>
        </w:rPr>
        <w:t xml:space="preserve"> and total national newspaper article counts from Nikkei Telecom 21 (2009–2018; keywords: 医療事故 + 医療過誤).</w:t>
      </w:r>
      <w:r>
        <w:rPr>
          <w:rFonts w:ascii="Times New Roman" w:hAnsi="Times New Roman"/>
          <w:sz w:val="22"/>
        </w:rPr>
        <w:t>[12]</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[13]</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p=0.26)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2"/>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(p=0.18;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[14]</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[15]</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[16]</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[17]</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[18]</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[19]</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[20]</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[21]</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[22]</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[23]</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[24]</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[25]</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[26]</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(新聞・情報データベース).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2020;70:1-16.</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